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malariagen/ag1000g-phase3-data-paper@5fa55e4</w:t>
        </w:r>
      </w:hyperlink>
      <w:r>
        <w:t xml:space="preserve"> </w:t>
      </w:r>
      <w:r>
        <w:t xml:space="preserve">on November 11, 2020.</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collected from a total of 124 sites across 19 countries, six of which are novel, in Sub-Saharan Africa.</w:t>
      </w:r>
    </w:p>
    <w:p>
      <w:pPr>
        <w:pStyle w:val="BodyText"/>
      </w:pPr>
      <w:r>
        <w:t xml:space="preserve">Collections from Malawi increase the density of coverage in West Africa, Central African Republic and Democratic Republic of Congo begin to fill the gap previously present in Central Africa while Malawi, Mozambique and Tanzania provide much more power to analyse East African malaria vectors.</w:t>
      </w:r>
    </w:p>
    <w:p>
      <w:pPr>
        <w:pStyle w:val="BodyText"/>
      </w:pPr>
      <w:r>
        <w:t xml:space="preserve">New quality control and filtering pipelines were developed for this phase, so all 4,693 samples submitted across the three project phases were evaluated with these new methods.</w:t>
      </w:r>
    </w:p>
    <w:p>
      <w:pPr>
        <w:pStyle w:val="BodyText"/>
      </w:pPr>
      <w:r>
        <w:t xml:space="preserve">High quality whole genome sequences from 2784 unique individuals passed all sample filters, 2532 females, 223 males and 29 samples with unknown sex (see Methods).</w:t>
      </w:r>
    </w:p>
    <w:p>
      <w:pPr>
        <w:pStyle w:val="BodyText"/>
      </w:pPr>
      <w:r>
        <w:t xml:space="preserve">1823 of these wild-caught individuals are novel to phase 3.</w:t>
      </w:r>
    </w:p>
    <w:p>
      <w:pPr>
        <w:pStyle w:val="BodyText"/>
      </w:pPr>
      <w:r>
        <w:t xml:space="preserve">181 samples from phase 2 did not pass the new quality thresholds are not included in this data release (@@ either - see Supplementary table OR explain 172 were lost via FILTER_second_rep_hi_skew &lt;- then need to explain what this is?).</w:t>
      </w:r>
    </w:p>
    <w:p>
      <w:pPr>
        <w:pStyle w:val="BodyText"/>
      </w:pPr>
      <w:r>
        <w:t xml:space="preserve">Alongside sampling from natural populations, 300 individuals from 15 lab crosses, parents and offspring, have been sequenced.</w:t>
      </w:r>
    </w:p>
    <w:p>
      <w:pPr>
        <w:pStyle w:val="BodyText"/>
      </w:pPr>
      <w:r>
        <w:t xml:space="preserve">Four of these crosses are novel to phase 3, adding more power to measure the quality of wild sample variation and to methods validation more generally.</w:t>
      </w:r>
    </w:p>
    <w:p>
      <w:pPr>
        <w:pStyle w:val="BodyText"/>
      </w:pPr>
      <w:r>
        <w:t xml:space="preserve">Parents of the new crosses were drawn from colonies where founders where collected in Nagongera (Uganda) and Kisumu (Kenya) .</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The sample QC process was composed of three stages, sequence quality assurance, replicate handling, and anomaly detection.</w:t>
      </w:r>
    </w:p>
    <w:p>
      <w:pPr>
        <w:pStyle w:val="BodyText"/>
      </w:pPr>
      <w:r>
        <w:t xml:space="preserve">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AG1000G-X submission set, made up of laboratory experimental crosses, was exempted from this step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samples (74.2%) were retained from the original cohort for analysis.</w:t>
      </w:r>
    </w:p>
    <w:p>
      <w:pPr>
        <w:pStyle w:val="Heading3"/>
      </w:pPr>
      <w:bookmarkStart w:id="29" w:name="coverage"/>
      <w:r>
        <w:t xml:space="preserve">Coverage</w:t>
      </w:r>
      <w:bookmarkEnd w:id="29"/>
    </w:p>
    <w:p>
      <w:pPr>
        <w:pStyle w:val="FirstParagraph"/>
      </w:pPr>
      <w:r>
        <w:t xml:space="preserve">Summary of site coverage post QC exclusions.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identified by Neafsey et al (ref), and used by us in previous analyses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highlights the complexity of species relationships here.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genome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w:t>
      </w:r>
    </w:p>
    <w:p>
      <w:pPr>
        <w:pStyle w:val="BodyText"/>
      </w:pPr>
      <w:r>
        <w:t xml:space="preserve">All 5 evaluation pedigrees showed a small reduction in FDR, but coupled with the lower rate of accessibility in phase 2 (62.05%) resulted in an significant improvement in Youden score (Table XXX) across autosomes.</w:t>
      </w:r>
    </w:p>
    <w:p>
      <w:pPr>
        <w:pStyle w:val="BodyText"/>
      </w:pPr>
      <w:r>
        <w:t xml:space="preserve">The X chromosome showed a similar pattern, the heterozygosity rate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2"/>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2"/>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2"/>
      </w:pPr>
      <w:bookmarkStart w:id="35" w:name="genetic-diversity-within-populations"/>
      <w:r>
        <w:t xml:space="preserve">Genetic Diversity within Populations</w:t>
      </w:r>
      <w:bookmarkEnd w:id="35"/>
    </w:p>
    <w:p>
      <w:pPr>
        <w:pStyle w:val="Heading2"/>
      </w:pPr>
      <w:bookmarkStart w:id="36" w:name="insecticide-resistance"/>
      <w:r>
        <w:t xml:space="preserve">Insecticide Resistance</w:t>
      </w:r>
      <w:bookmarkEnd w:id="36"/>
    </w:p>
    <w:p>
      <w:pPr>
        <w:pStyle w:val="Heading2"/>
      </w:pPr>
      <w:bookmarkStart w:id="37" w:name="gene-drive"/>
      <w:r>
        <w:t xml:space="preserve">Gene Drive</w:t>
      </w:r>
      <w:bookmarkEnd w:id="37"/>
    </w:p>
    <w:p>
      <w:pPr>
        <w:pStyle w:val="Heading1"/>
      </w:pPr>
      <w:bookmarkStart w:id="38" w:name="methods"/>
      <w:r>
        <w:t xml:space="preserve">Methods</w:t>
      </w:r>
      <w:bookmarkEnd w:id="38"/>
    </w:p>
    <w:p>
      <w:pPr>
        <w:pStyle w:val="Heading2"/>
      </w:pPr>
      <w:bookmarkStart w:id="39" w:name="population-sampling-1"/>
      <w:r>
        <w:t xml:space="preserve">Population Sampling</w:t>
      </w:r>
      <w:bookmarkEnd w:id="39"/>
    </w:p>
    <w:p>
      <w:pPr>
        <w:pStyle w:val="FirstParagraph"/>
      </w:pPr>
      <w:r>
        <w:t xml:space="preserve">Mosquitoes, from natural populations, were collected at 124 sites (unique latitude/longitudes) in 19 sub-Saharan African countries (Figure 1; Supplemental Table @@??).</w:t>
      </w:r>
    </w:p>
    <w:p>
      <w:pPr>
        <w:pStyle w:val="BodyText"/>
      </w:pPr>
      <w:r>
        <w:t xml:space="preserve">95 of these sites are novel to Ag1000G phase 3, including 19 sites in six newly sampled countries, the remainder were previously sampled in phases 1 and 2 of the project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w:t>
      </w:r>
    </w:p>
    <w:p>
      <w:pPr>
        <w:pStyle w:val="BodyText"/>
      </w:pPr>
      <w:r>
        <w:t xml:space="preserve">New samples present in phase 3 comprised the following:</w:t>
      </w:r>
    </w:p>
    <w:p>
      <w:pPr>
        <w:pStyle w:val="BodyText"/>
      </w:pPr>
      <w:r>
        <w:rPr>
          <w:b/>
        </w:rPr>
        <w:t xml:space="preserve">Burkina Faso</w:t>
      </w:r>
    </w:p>
    <w:p>
      <w:pPr>
        <w:pStyle w:val="BodyText"/>
      </w:pPr>
      <w:r>
        <w:t xml:space="preserve">Two new submissions of collections from Burkina Faso are included here. The first added collections made in three villages separated by at most 30km: Bana (11.233, -4.472), Souroukoudinga (11.235, -4.535) and Pala (11.150, -4.235).</w:t>
      </w:r>
    </w:p>
    <w:p>
      <w:pPr>
        <w:pStyle w:val="BodyText"/>
      </w:pPr>
      <w:r>
        <w:t xml:space="preserve">These collections were made in July and October 2014, and January, February and April 2015. The area is agricultural, with rice-growing areas near Bana and Souroukoudinga, and a large mango grove near Pala.</w:t>
      </w:r>
    </w:p>
    <w:p>
      <w:pPr>
        <w:pStyle w:val="BodyText"/>
      </w:pPr>
      <w:r>
        <w:t xml:space="preserve">Female mosquitoes were collected by human landing catch, pyrethrum spray collection or aspiration; males were collected by swarm netting. 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70em6Bgx">
        <w:r>
          <w:rPr>
            <w:rStyle w:val="Hyperlink"/>
          </w:rPr>
          <w:t xml:space="preserve">1</w:t>
        </w:r>
      </w:hyperlink>
      <w:r>
        <w:t xml:space="preserve">) were collected.</w:t>
      </w:r>
    </w:p>
    <w:p>
      <w:pPr>
        <w:pStyle w:val="BodyText"/>
      </w:pPr>
      <w:r>
        <w:t xml:space="preserve">Specimens were stored in 80% ethanol and DNA was extracted using the DNeasy Tissue Kit (Qiagen).</w:t>
      </w:r>
    </w:p>
    <w:p>
      <w:pPr>
        <w:pStyle w:val="BodyText"/>
      </w:pPr>
      <w:r>
        <w:t xml:space="preserve">The second new submission from Burkina Faso added collections of indoor resting adults made by spray catch from Monomtenga in central Burkina Faso (12.06, -1.17).</w:t>
      </w:r>
    </w:p>
    <w:p>
      <w:pPr>
        <w:pStyle w:val="BodyText"/>
      </w:pPr>
      <w:r>
        <w:t xml:space="preserve">These 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 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Democratic Rebublic of the Congo</w:t>
      </w:r>
    </w:p>
    <w:p>
      <w:pPr>
        <w:pStyle w:val="BodyText"/>
      </w:pPr>
      <w:r>
        <w:t xml:space="preserve">Samples were collected from Gbadolite (4.283, 21.017), a town located in the far north of the Democratic Republic of Congo (DRC) near the border with the Central African Republic, surrounded by forest.</w:t>
      </w:r>
    </w:p>
    <w:p>
      <w:pPr>
        <w:pStyle w:val="BodyText"/>
      </w:pPr>
      <w:r>
        <w:t xml:space="preserve">In common with much of DRC, malaria transmission rates are high, and the samples are</w:t>
      </w:r>
      <w:r>
        <w:t xml:space="preserve"> </w:t>
      </w:r>
      <w:r>
        <w:rPr>
          <w:i/>
        </w:rPr>
        <w:t xml:space="preserve">An. gambiae</w:t>
      </w:r>
      <w:r>
        <w:t xml:space="preserve"> </w:t>
      </w:r>
      <w:r>
        <w:t xml:space="preserve">s.s., which is the dominant vector.</w:t>
      </w:r>
    </w:p>
    <w:p>
      <w:pPr>
        <w:pStyle w:val="BodyText"/>
      </w:pPr>
      <w:r>
        <w:t xml:space="preserve">Samples were collected as larvae from temporary pools within and around the town by dipping in early August 2015. All larvae were reared to adults and females preserved over silica for DNA extraction using Qiagen DNAEasy kits.</w:t>
      </w:r>
    </w:p>
    <w:p>
      <w:pPr>
        <w:pStyle w:val="BodyText"/>
      </w:pPr>
      <w:r>
        <w:rPr>
          <w:b/>
        </w:rPr>
        <w:t xml:space="preserve">Central African Republic</w:t>
      </w:r>
    </w:p>
    <w:p>
      <w:pPr>
        <w:pStyle w:val="BodyText"/>
      </w:pPr>
      <w:r>
        <w:t xml:space="preserve">Collections were carried out in Bangui (4.367, 18.583), during December 1993, by indoor resting aspiration or pyrethrum spray catch.</w:t>
      </w:r>
    </w:p>
    <w:p>
      <w:pPr>
        <w:pStyle w:val="BodyText"/>
      </w:pPr>
      <w:r>
        <w:rPr>
          <w:b/>
        </w:rPr>
        <w:t xml:space="preserve">Cameroon</w:t>
      </w:r>
    </w:p>
    <w:p>
      <w:pPr>
        <w:pStyle w:val="BodyText"/>
      </w:pPr>
      <w:r>
        <w:t xml:space="preserve">Two new submissions of samples from Cameroon are included in this phase.</w:t>
      </w:r>
    </w:p>
    <w:p>
      <w:pPr>
        <w:pStyle w:val="BodyText"/>
      </w:pPr>
      <w:r>
        <w:t xml:space="preserve">In the first submission anopheline mosquitoes were taken from 64 locations covering a 1,500 km north-to-south transect that crossed all eco-geographical areas of Cameroon (</w:t>
      </w:r>
      <w:hyperlink w:anchor="ref-daG5Pj6c">
        <w:r>
          <w:rPr>
            <w:rStyle w:val="Hyperlink"/>
          </w:rPr>
          <w:t xml:space="preserve">4</w:t>
        </w:r>
      </w:hyperlink>
      <w:r>
        <w:t xml:space="preserve">).</w:t>
      </w:r>
    </w:p>
    <w:p>
      <w:pPr>
        <w:pStyle w:val="BodyText"/>
      </w:pPr>
      <w:r>
        <w:t xml:space="preserve">Mosquito collection involved spraying aerosols of pyrethroid insecticides inside human dwellings, dead mosquitoes were retrieved from white sheets that were laid on the floor.</w:t>
      </w:r>
    </w:p>
    <w:p>
      <w:pPr>
        <w:pStyle w:val="BodyText"/>
      </w:pPr>
      <w:r>
        <w:t xml:space="preserve">Anopheline mosquitoes were identified using morphological identification keys (&gt;&gt;Gillies and De Meillon 1968&lt;&lt;@</w:t>
      </w:r>
      <w:r>
        <w:t xml:space="preserve">[</w:t>
      </w:r>
      <w:r>
        <w:rPr>
          <w:b/>
        </w:rPr>
        <w:t xml:space="preserve">???</w:t>
      </w:r>
      <w:r>
        <w:t xml:space="preserve">]</w:t>
      </w:r>
      <w:r>
        <w:t xml:space="preserve"> </w:t>
      </w:r>
      <w:r>
        <w:t xml:space="preserve">reference books with no ISBN?;</w:t>
      </w:r>
      <w:r>
        <w:t xml:space="preserve"> </w:t>
      </w:r>
      <w:hyperlink w:anchor="ref-14XMzb1n7">
        <w:r>
          <w:rPr>
            <w:rStyle w:val="Hyperlink"/>
          </w:rPr>
          <w:t xml:space="preserve">5</w:t>
        </w:r>
      </w:hyperlink>
      <w:r>
        <w:t xml:space="preserve">).</w:t>
      </w:r>
    </w:p>
    <w:p>
      <w:pPr>
        <w:pStyle w:val="BodyText"/>
      </w:pPr>
      <w:r>
        <w:t xml:space="preserve">Ovaries from half-gravid</w:t>
      </w:r>
      <w:r>
        <w:t xml:space="preserve"> </w:t>
      </w:r>
      <w:r>
        <w:rPr>
          <w:i/>
        </w:rPr>
        <w:t xml:space="preserve">An. gambiae</w:t>
      </w:r>
      <w:r>
        <w:t xml:space="preserve"> </w:t>
      </w:r>
      <w:r>
        <w:t xml:space="preserve">s.l. females were dissected and stored in Carnoy’s fixative solution (absolute ethanol:glacial acetic acid 3:1) for cytogenetic analyses.</w:t>
      </w:r>
    </w:p>
    <w:p>
      <w:pPr>
        <w:pStyle w:val="BodyText"/>
      </w:pPr>
      <w:r>
        <w:t xml:space="preserve">Carcasses were stored individually in tubes containing a desiccant and kept at -20°C until they were molecularly processed. All half-gravid specimens collected in each village were identified to species and molecular forms using PCR-RFLP (</w:t>
      </w:r>
      <w:hyperlink w:anchor="ref-1G04AzsFo">
        <w:r>
          <w:rPr>
            <w:rStyle w:val="Hyperlink"/>
          </w:rPr>
          <w:t xml:space="preserve">2</w:t>
        </w:r>
      </w:hyperlink>
      <w:r>
        <w:t xml:space="preserve">).</w:t>
      </w:r>
    </w:p>
    <w:p>
      <w:pPr>
        <w:pStyle w:val="BodyText"/>
      </w:pPr>
      <w:r>
        <w:t xml:space="preserve">The second Cameroonian submission came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 5.726, 10.868 and Campo: 2.367, 9.817); forest/savanna transition (Tibati: 6.469, 12.629); savanna (Lagdo: 9.049, 13.656); suburban area (Nkolondom: 3.972, 11.516) and</w:t>
      </w:r>
      <w:r>
        <w:t xml:space="preserve"> </w:t>
      </w:r>
      <w:r>
        <w:t xml:space="preserve">urban areas (Douala: 4.055, 9.721 and Yaoundé: 3.880, 11.506).</w:t>
      </w:r>
    </w:p>
    <w:p>
      <w:pPr>
        <w:pStyle w:val="BodyText"/>
      </w:pPr>
      <w:r>
        <w:t xml:space="preserve">Contributed specimens were</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p>
    <w:p>
      <w:pPr>
        <w:pStyle w:val="BodyText"/>
      </w:pPr>
      <w:r>
        <w:t xml:space="preserve">Population genomics studies indicated the presence of relatively differentiated subgroups within both species as well as clusters thriving in polluted breeding sites in large cities (</w:t>
      </w:r>
      <w:r>
        <w:t xml:space="preserve">[</w:t>
      </w:r>
      <w:r>
        <w:rPr>
          <w:b/>
        </w:rPr>
        <w:t xml:space="preserve">???</w:t>
      </w:r>
      <w:r>
        <w:t xml:space="preserve">]</w:t>
      </w:r>
      <w:r>
        <w:t xml:space="preserve">).</w:t>
      </w:r>
    </w:p>
    <w:p>
      <w:pPr>
        <w:pStyle w:val="BodyText"/>
      </w:pPr>
      <w:r>
        <w:t xml:space="preserve">Specimens were stored on silica gel, and DNA was extracted using a Zymo research kit for adults and a Qiagen kit for larvae.</w:t>
      </w:r>
    </w:p>
    <w:p>
      <w:pPr>
        <w:pStyle w:val="BodyText"/>
      </w:pPr>
      <w:r>
        <w:rPr>
          <w:b/>
        </w:rPr>
        <w:t xml:space="preserve">Mayotte</w:t>
      </w:r>
    </w:p>
    <w:p>
      <w:pPr>
        <w:pStyle w:val="BodyText"/>
      </w:pPr>
      <w:r>
        <w:t xml:space="preserve">Phase 3 adds collections from three novel sites on the island of Mayotte.</w:t>
      </w:r>
    </w:p>
    <w:p>
      <w:pPr>
        <w:pStyle w:val="BodyText"/>
      </w:pPr>
      <w:r>
        <w:t xml:space="preserve">Samples were collected as larvae during March-April 2011 in temporary pools by dipping in Tsounzou (-12.797, 45.185), Tsinkoura (-12.936, 45.138) and aerogare (-12.803, 45.283).</w:t>
      </w:r>
    </w:p>
    <w:p>
      <w:pPr>
        <w:pStyle w:val="BodyText"/>
      </w:pPr>
      <w:r>
        <w:t xml:space="preserve">Larvae were stored in 80% ethanol prior to DNA extraction.</w:t>
      </w:r>
    </w:p>
    <w:p>
      <w:pPr>
        <w:pStyle w:val="BodyText"/>
      </w:pPr>
      <w:r>
        <w:t xml:space="preserve">All specimens contributed were</w:t>
      </w:r>
      <w:r>
        <w:t xml:space="preserve"> </w:t>
      </w:r>
      <w:r>
        <w:rPr>
          <w:i/>
        </w:rPr>
        <w:t xml:space="preserve">An. gambiae</w:t>
      </w:r>
      <w:r>
        <w:t xml:space="preserve"> </w:t>
      </w:r>
      <w:r>
        <w:t xml:space="preserve">(</w:t>
      </w:r>
      <w:hyperlink w:anchor="ref-Z00Fb5xf">
        <w:r>
          <w:rPr>
            <w:rStyle w:val="Hyperlink"/>
          </w:rPr>
          <w:t xml:space="preserve">3</w:t>
        </w:r>
      </w:hyperlink>
      <w:r>
        <w:t xml:space="preserve">) with the standard 2L</w:t>
      </w:r>
      <w:r>
        <w:t xml:space="preserve">+a</w:t>
      </w:r>
      <w:r>
        <w:t xml:space="preserve">/2L</w:t>
      </w:r>
      <w:r>
        <w:t xml:space="preserve">+a</w:t>
      </w:r>
      <w:r>
        <w:t xml:space="preserve"> </w:t>
      </w:r>
      <w:r>
        <w:t xml:space="preserve">or inverted 2L</w:t>
      </w:r>
      <w:r>
        <w:t xml:space="preserve">a</w:t>
      </w:r>
      <w:r>
        <w:t xml:space="preserve">/2L</w:t>
      </w:r>
      <w:r>
        <w:t xml:space="preserve">a</w:t>
      </w:r>
      <w:r>
        <w:t xml:space="preserve"> </w:t>
      </w:r>
      <w:r>
        <w:t xml:space="preserve">karyotype as determined by the molecular PCR diagnostics (</w:t>
      </w:r>
      <w:hyperlink w:anchor="ref-ISDKf1P8">
        <w:r>
          <w:rPr>
            <w:rStyle w:val="Hyperlink"/>
          </w:rPr>
          <w:t xml:space="preserve">6</w:t>
        </w:r>
      </w:hyperlink>
      <w:r>
        <w:t xml:space="preserve">).</w:t>
      </w:r>
    </w:p>
    <w:p>
      <w:pPr>
        <w:pStyle w:val="BodyText"/>
      </w:pPr>
      <w:r>
        <w:t xml:space="preserve">The samples were identified as males or females by the sequencing read coverage of the X chromosome using LookSeq (</w:t>
      </w:r>
      <w:hyperlink w:anchor="ref-19Z5CFAYk">
        <w:r>
          <w:rPr>
            <w:rStyle w:val="Hyperlink"/>
          </w:rPr>
          <w:t xml:space="preserve">7</w:t>
        </w:r>
      </w:hyperlink>
      <w:r>
        <w:t xml:space="preserve">).</w:t>
      </w:r>
    </w:p>
    <w:p>
      <w:pPr>
        <w:pStyle w:val="BodyText"/>
      </w:pPr>
      <w:r>
        <w:rPr>
          <w:b/>
        </w:rPr>
        <w:t xml:space="preserve">Gabon</w:t>
      </w:r>
      <w:r>
        <w:t xml:space="preserve"> </w:t>
      </w:r>
      <w:r>
        <w:t xml:space="preserve">@</w:t>
      </w:r>
      <w:r>
        <w:t xml:space="preserve">[</w:t>
      </w:r>
      <w:r>
        <w:rPr>
          <w:b/>
        </w:rPr>
        <w:t xml:space="preserve">???</w:t>
      </w:r>
      <w:r>
        <w:t xml:space="preserve">]</w:t>
      </w:r>
      <w:r>
        <w:t xml:space="preserve"> </w:t>
      </w:r>
      <w:r>
        <w:t xml:space="preserve">this submission</w:t>
      </w:r>
      <w:r>
        <w:t xml:space="preserve"> </w:t>
      </w:r>
      <w:r>
        <w:t xml:space="preserve">“</w:t>
      </w:r>
      <w:r>
        <w:t xml:space="preserve">GA-B</w:t>
      </w:r>
      <w:r>
        <w:t xml:space="preserve">”</w:t>
      </w:r>
      <w:r>
        <w:t xml:space="preserve"> </w:t>
      </w:r>
      <w:r>
        <w:t xml:space="preserve">included in the release?? I can’t see it in the meta data, delete?</w:t>
      </w:r>
    </w:p>
    <w:p>
      <w:pPr>
        <w:pStyle w:val="BodyText"/>
      </w:pPr>
      <w:r>
        <w:rPr>
          <w:i/>
        </w:rPr>
        <w:t xml:space="preserve">Anopheles</w:t>
      </w:r>
      <w:r>
        <w:t xml:space="preserve"> </w:t>
      </w:r>
      <w:r>
        <w:t xml:space="preserve">sampling was carried out in three new locations in Gabon @</w:t>
      </w:r>
      <w:r>
        <w:t xml:space="preserve">[</w:t>
      </w:r>
      <w:r>
        <w:rPr>
          <w:b/>
        </w:rPr>
        <w:t xml:space="preserve">???</w:t>
      </w:r>
      <w:r>
        <w:t xml:space="preserve">]</w:t>
      </w:r>
      <w:r>
        <w:t xml:space="preserve">?.</w:t>
      </w:r>
    </w:p>
    <w:p>
      <w:pPr>
        <w:pStyle w:val="BodyText"/>
      </w:pPr>
      <w:r>
        <w:t xml:space="preserve">Adult</w:t>
      </w:r>
      <w:r>
        <w:t xml:space="preserve"> </w:t>
      </w:r>
      <w:r>
        <w:rPr>
          <w:i/>
        </w:rPr>
        <w:t xml:space="preserve">An. gambiae</w:t>
      </w:r>
      <w:r>
        <w:t xml:space="preserve"> </w:t>
      </w:r>
      <w:r>
        <w:t xml:space="preserve">females were collected in Benguia (-1.633, 13.492) by human landing catches (National Research Ethics Committee of Gabon n°. 0031/2014/SG/CNE) in September 2015.</w:t>
      </w:r>
    </w:p>
    <w:p>
      <w:pPr>
        <w:pStyle w:val="BodyText"/>
      </w:pPr>
      <w:r>
        <w:t xml:space="preserve">Benguia is a forest-savanna village with less than 300 inhabitants. Malaria is endemic across the year.</w:t>
      </w:r>
    </w:p>
    <w:p>
      <w:pPr>
        <w:pStyle w:val="BodyText"/>
      </w:pPr>
      <w:r>
        <w:t xml:space="preserve">The specimens were stored immediately at -80°C.</w:t>
      </w:r>
    </w:p>
    <w:p>
      <w:pPr>
        <w:pStyle w:val="BodyText"/>
      </w:pPr>
      <w:r>
        <w:rPr>
          <w:i/>
        </w:rPr>
        <w:t xml:space="preserve">An. coluzzii</w:t>
      </w:r>
      <w:r>
        <w:t xml:space="preserve"> </w:t>
      </w:r>
      <w:r>
        <w:t xml:space="preserve">larvae were sampled in Libreville (0.390, 9.454) and Cocobeach (0.992, 9.576) by dipping in natural breeding sites in January 2016.</w:t>
      </w:r>
    </w:p>
    <w:p>
      <w:pPr>
        <w:pStyle w:val="BodyText"/>
      </w:pPr>
      <w:r>
        <w:t xml:space="preserve">Libreville is the capital of the country and it is urban and polluted site, Cocobeach is a coastal village north of Libreville.</w:t>
      </w:r>
    </w:p>
    <w:p>
      <w:pPr>
        <w:pStyle w:val="BodyText"/>
      </w:pPr>
      <w:r>
        <w:t xml:space="preserve">Across both malaria is endemic across the year.</w:t>
      </w:r>
    </w:p>
    <w:p>
      <w:pPr>
        <w:pStyle w:val="BodyText"/>
      </w:pPr>
      <w:r>
        <w:t xml:space="preserve">The specimens were stored in alcohol at -20°C.</w:t>
      </w:r>
    </w:p>
    <w:p>
      <w:pPr>
        <w:pStyle w:val="BodyText"/>
      </w:pPr>
      <w:r>
        <w:t xml:space="preserve">Total genomic DNA was extracted for all the mosquitoes using the CTAB protocol (</w:t>
      </w:r>
      <w:hyperlink w:anchor="ref-XUSF8pjQ">
        <w:r>
          <w:rPr>
            <w:rStyle w:val="Hyperlink"/>
          </w:rPr>
          <w:t xml:space="preserve">8</w:t>
        </w:r>
      </w:hyperlink>
      <w:r>
        <w:t xml:space="preserve">).</w:t>
      </w:r>
    </w:p>
    <w:p>
      <w:pPr>
        <w:pStyle w:val="BodyText"/>
      </w:pPr>
      <w:r>
        <w:rPr>
          <w:b/>
        </w:rPr>
        <w:t xml:space="preserve">The Gambia</w:t>
      </w:r>
    </w:p>
    <w:p>
      <w:pPr>
        <w:pStyle w:val="BodyText"/>
      </w:pPr>
      <w:r>
        <w:t xml:space="preserve">Two new submissions of samples from The Gambia are present in phase 3.</w:t>
      </w:r>
    </w:p>
    <w:p>
      <w:pPr>
        <w:pStyle w:val="BodyText"/>
      </w:pPr>
      <w:r>
        <w:t xml:space="preserve">The first were collected along the Gambia River from the western coastal region of The Gambia, (Low River Area; Caputo et al. 2008), in August 2006.</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identified to species following the PCR-RFLP protocol (</w:t>
      </w:r>
      <w:hyperlink w:anchor="ref-1G04AzsFo">
        <w:r>
          <w:rPr>
            <w:rStyle w:val="Hyperlink"/>
          </w:rPr>
          <w:t xml:space="preserve">2</w:t>
        </w:r>
      </w:hyperlink>
      <w:r>
        <w:t xml:space="preserve">) using DNA extracted from the mosquito leg.</w:t>
      </w:r>
    </w:p>
    <w:p>
      <w:pPr>
        <w:pStyle w:val="BodyText"/>
      </w:pPr>
      <w:r>
        <w:t xml:space="preserve">Only</w:t>
      </w:r>
      <w:r>
        <w:t xml:space="preserve"> </w:t>
      </w:r>
      <w:r>
        <w:rPr>
          <w:i/>
        </w:rPr>
        <w:t xml:space="preserve">An. coluzzii</w:t>
      </w:r>
      <w:r>
        <w:t xml:space="preserve"> </w:t>
      </w:r>
      <w:r>
        <w:t xml:space="preserve">specimens were collected from villages of Tankular (13.417, -16.033) and Kalataba (13.550, -15.617).</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 Yallal Tankonjala (13.550, -15.700), Sare Samba Sowe (13.583, -15.900) and Hamdalai (13.567, -16.0167).</w:t>
      </w:r>
    </w:p>
    <w:p>
      <w:pPr>
        <w:pStyle w:val="BodyText"/>
      </w:pPr>
      <w:r>
        <w:t xml:space="preserve">PCR-RFLP protocol also revealed the presence of mosquitoes with hybrid</w:t>
      </w:r>
      <w:r>
        <w:t xml:space="preserve"> </w:t>
      </w:r>
      <w:r>
        <w:rPr>
          <w:i/>
        </w:rPr>
        <w:t xml:space="preserve">An. gambiae</w:t>
      </w:r>
      <w:r>
        <w:t xml:space="preserve">/</w:t>
      </w:r>
      <w:r>
        <w:rPr>
          <w:i/>
        </w:rPr>
        <w:t xml:space="preserve">An. coluzzii</w:t>
      </w:r>
      <w:r>
        <w:t xml:space="preserve"> </w:t>
      </w:r>
      <w:r>
        <w:t xml:space="preserve">genotype in Yallal Tankonjala and Sare Samba Sowe.</w:t>
      </w:r>
    </w:p>
    <w:p>
      <w:pPr>
        <w:pStyle w:val="BodyText"/>
      </w:pPr>
      <w:r>
        <w:t xml:space="preserve">Collections of indoor daytime-resting half gravid mosquitoes were carried out mainly in human dwellings and, in few cases, in animal shelters.</w:t>
      </w:r>
    </w:p>
    <w:p>
      <w:pPr>
        <w:pStyle w:val="BodyText"/>
      </w:pPr>
      <w:r>
        <w:t xml:space="preserve">Collections were carried out by pyrethroid and/or paper-cup mouth aspirators from 12 AM to sunset, and kept in vials with desiccant.</w:t>
      </w:r>
    </w:p>
    <w:p>
      <w:pPr>
        <w:pStyle w:val="BodyText"/>
      </w:pPr>
      <w:r>
        <w:t xml:space="preserve">Ovaries were dissected, maintained into Carnoy fixative (three parts pure ethanol:one part glacial acetic acid) and stored at -20</w:t>
      </w:r>
      <w:r>
        <w:t xml:space="preserve">o</w:t>
      </w:r>
      <w:r>
        <w:t xml:space="preserve">C before polytene chromosome preparations (</w:t>
      </w:r>
      <w:hyperlink w:anchor="ref-1EjgFGIf9">
        <w:r>
          <w:rPr>
            <w:rStyle w:val="Hyperlink"/>
          </w:rPr>
          <w:t xml:space="preserve">9</w:t>
        </w:r>
      </w:hyperlink>
      <w:r>
        <w:t xml:space="preserve">).</w:t>
      </w:r>
    </w:p>
    <w:p>
      <w:pPr>
        <w:pStyle w:val="BodyText"/>
      </w:pPr>
      <w:r>
        <w:t xml:space="preserve">Chromosome scoring was carried out under a phase‐contrast optical microscope.</w:t>
      </w:r>
    </w:p>
    <w:p>
      <w:pPr>
        <w:pStyle w:val="BodyText"/>
      </w:pPr>
      <w:r>
        <w:t xml:space="preserve">Paracentric inversion karyotypes were scored according to the nomenclature and conventions of Coluzzi et al. (</w:t>
      </w:r>
      <w:r>
        <w:t xml:space="preserve">[</w:t>
      </w:r>
      <w:r>
        <w:rPr>
          <w:b/>
        </w:rPr>
        <w:t xml:space="preserve">???</w:t>
      </w:r>
      <w:r>
        <w:t xml:space="preserve">]</w:t>
      </w:r>
      <w:r>
        <w:t xml:space="preserve">(79)90036-1) and Touré et al. (</w:t>
      </w:r>
      <w:hyperlink w:anchor="ref-Z6MC0qXg">
        <w:r>
          <w:rPr>
            <w:rStyle w:val="Hyperlink"/>
          </w:rPr>
          <w:t xml:space="preserve">10</w:t>
        </w:r>
      </w:hyperlink>
      <w:r>
        <w:t xml:space="preserve">).</w:t>
      </w:r>
    </w:p>
    <w:p>
      <w:pPr>
        <w:pStyle w:val="BodyText"/>
      </w:pPr>
      <w:r>
        <w:t xml:space="preserve">The second new submission consists of adult mosquitoes collected at Wali Kunda in the rural, central river region of The Gambia (13.567, -14.917).</w:t>
      </w:r>
    </w:p>
    <w:p>
      <w:pPr>
        <w:pStyle w:val="BodyText"/>
      </w:pPr>
      <w:r>
        <w:t xml:space="preserve">The area is 180 km from the sea, on the south bank of the River Gambia, in flat Sudan savannah with a small fishing village (and a research field station) as well as rice fields and swamplands.</w:t>
      </w:r>
    </w:p>
    <w:p>
      <w:pPr>
        <w:pStyle w:val="BodyText"/>
      </w:pPr>
      <w:r>
        <w:t xml:space="preserve">The dominant</w:t>
      </w:r>
      <w:r>
        <w:t xml:space="preserve"> </w:t>
      </w:r>
      <w:r>
        <w:rPr>
          <w:i/>
        </w:rPr>
        <w:t xml:space="preserve">Anopheles</w:t>
      </w:r>
      <w:r>
        <w:t xml:space="preserve"> </w:t>
      </w:r>
      <w:r>
        <w:t xml:space="preserve">vector species is</w:t>
      </w:r>
      <w:r>
        <w:t xml:space="preserve"> </w:t>
      </w:r>
      <w:r>
        <w:rPr>
          <w:i/>
        </w:rPr>
        <w:t xml:space="preserve">An. coluzzii</w:t>
      </w:r>
      <w:r>
        <w:t xml:space="preserve"> </w:t>
      </w:r>
      <w:r>
        <w:t xml:space="preserve">(</w:t>
      </w:r>
      <w:hyperlink w:anchor="ref-Px2G7gld">
        <w:r>
          <w:rPr>
            <w:rStyle w:val="Hyperlink"/>
          </w:rPr>
          <w:t xml:space="preserve">11</w:t>
        </w:r>
      </w:hyperlink>
      <w:r>
        <w:t xml:space="preserve">).</w:t>
      </w:r>
    </w:p>
    <w:p>
      <w:pPr>
        <w:pStyle w:val="BodyText"/>
      </w:pPr>
      <w:r>
        <w:t xml:space="preserve">Mosquitoes were captured using human landing collections both inside and outside huts for 19 days in October and November 2012. Mosquitoes were stored in RNAlater or dried over silica gel and stored at -20</w:t>
      </w:r>
      <w:r>
        <w:t xml:space="preserve">o</w:t>
      </w:r>
      <w:r>
        <w:t xml:space="preserve">C.</w:t>
      </w:r>
    </w:p>
    <w:p>
      <w:pPr>
        <w:pStyle w:val="BodyText"/>
      </w:pPr>
      <w:r>
        <w:rPr>
          <w:b/>
        </w:rPr>
        <w:t xml:space="preserve">Guinea and Mali</w:t>
      </w:r>
    </w:p>
    <w:p>
      <w:pPr>
        <w:pStyle w:val="BodyText"/>
      </w:pPr>
      <w:r>
        <w:t xml:space="preserve">A novel sample submission to phase 3 included collections from both Guinea and Mali.</w:t>
      </w:r>
    </w:p>
    <w:p>
      <w:pPr>
        <w:pStyle w:val="BodyText"/>
      </w:pPr>
      <w:r>
        <w:t xml:space="preserve">Mosquitoes were collected from four different study sites at the border with Mali and in Guinea Conakry. Takan (11.47, -8.33) and Toumani Oulena (10.83, -7.81) are both small villages in the Yanfolila district of southern Mali and represent the Sudanian savannah ecological zone.</w:t>
      </w:r>
    </w:p>
    <w:p>
      <w:pPr>
        <w:pStyle w:val="BodyText"/>
      </w:pPr>
      <w:r>
        <w:t xml:space="preserve">Takan is arid savannah, while Toumani Oulena is humid savannah.</w:t>
      </w:r>
    </w:p>
    <w:p>
      <w:pPr>
        <w:pStyle w:val="BodyText"/>
      </w:pPr>
      <w:r>
        <w:t xml:space="preserve">In Guinea Conakry, we sampled in Koraboh, (9.28, -10.03) a small village in the Kissidougou district in the Faranah region representing a semi-forest site with intermediate ecology, a mix of savannah and forest, and in Koundara, (8.48, -9.53), a small village in the Macenta district in the Nzerekore region representing deep forest ecology.</w:t>
      </w:r>
    </w:p>
    <w:p>
      <w:pPr>
        <w:pStyle w:val="BodyText"/>
      </w:pPr>
      <w:r>
        <w:t xml:space="preserve">All reported collections occurred in October and November in 2012.</w:t>
      </w:r>
    </w:p>
    <w:p>
      <w:pPr>
        <w:pStyle w:val="BodyText"/>
      </w:pPr>
      <w:r>
        <w:t xml:space="preserve">At each site, mosquitoes were collected using three different methods: human-landing capture, indoor manual aspirator or pyrethroid spray catch, and larval capture - where the first and second instar larvae were raised to adult in a field insectary under standard insectary conditions prior to DNA isolation from the adults, and the third and fourth instar larvae were preserved directly for DNA isolation, without rearing in the insectary.</w:t>
      </w:r>
    </w:p>
    <w:p>
      <w:pPr>
        <w:pStyle w:val="BodyText"/>
      </w:pPr>
      <w:r>
        <w:t xml:space="preserve">The two distinct methods of larval collection were used to control for possible genetic bias inherent in lab rearing of captured larvae.</w:t>
      </w:r>
    </w:p>
    <w:p>
      <w:pPr>
        <w:pStyle w:val="BodyText"/>
      </w:pPr>
      <w:r>
        <w:t xml:space="preserve">Across sites, all types of larval sites were sampled, including both temporary and permanent sites.</w:t>
      </w:r>
    </w:p>
    <w:p>
      <w:pPr>
        <w:pStyle w:val="BodyText"/>
      </w:pPr>
      <w:r>
        <w:t xml:space="preserve">Human-landing captures were performed both inside dwellings and outside (&gt;10 m from dwelling) at night between 18:00 and 06:30.</w:t>
      </w:r>
    </w:p>
    <w:p>
      <w:pPr>
        <w:pStyle w:val="BodyText"/>
      </w:pPr>
      <w:r>
        <w:t xml:space="preserve">The indoor aspirator or spray catches were done in the morning between 06:00 and 12:00.</w:t>
      </w:r>
    </w:p>
    <w:p>
      <w:pPr>
        <w:pStyle w:val="BodyText"/>
      </w:pPr>
      <w:r>
        <w:t xml:space="preserve">Adult specimens or third and fourth instar larvae were preserved immediately in 80% ethanol until later DNA extraction.</w:t>
      </w:r>
    </w:p>
    <w:p>
      <w:pPr>
        <w:pStyle w:val="BodyText"/>
      </w:pPr>
      <w:r>
        <w:t xml:space="preserve">First and second instar larvae were raised to adults in nearby field insectaries and upon emergence were preserved in 80% ethanol.</w:t>
      </w:r>
    </w:p>
    <w:p>
      <w:pPr>
        <w:pStyle w:val="BodyText"/>
      </w:pPr>
      <w:r>
        <w:t xml:space="preserve">DNA was extracted from mosquitoes using DNAzol by the provided protocol (Invitrogen, CA, USA).</w:t>
      </w:r>
    </w:p>
    <w:p>
      <w:pPr>
        <w:pStyle w:val="BodyText"/>
      </w:pPr>
      <w:r>
        <w:t xml:space="preserve">Further details on sampling and basic Southern Mali/Guinea vector biology are presented in Coulibaly et al. (doi:10.1186/s12936-016-1242-5).</w:t>
      </w:r>
    </w:p>
    <w:p>
      <w:pPr>
        <w:pStyle w:val="BodyText"/>
      </w:pPr>
      <w:r>
        <w:rPr>
          <w:b/>
        </w:rPr>
        <w:t xml:space="preserve">Guinea Bissau</w:t>
      </w:r>
    </w:p>
    <w:p>
      <w:pPr>
        <w:pStyle w:val="BodyText"/>
      </w:pPr>
      <w:r>
        <w:t xml:space="preserve">Two new Guinea Bissau collection sites are added here, both performed in October 2010 by indoor CDC light traps.</w:t>
      </w:r>
    </w:p>
    <w:p>
      <w:pPr>
        <w:pStyle w:val="BodyText"/>
      </w:pPr>
      <w:r>
        <w:t xml:space="preserve">Samples were also collected from Ga-Mbana (12.052, -14.902) and Leibala (12.272, -14.222).</w:t>
      </w:r>
    </w:p>
    <w:p>
      <w:pPr>
        <w:pStyle w:val="BodyText"/>
      </w:pPr>
      <w:r>
        <w:t xml:space="preserve">Ga-Mbana is a rural village located along a main road in central Guinea Bissau, while Leibala is a neighbourhood of the eastern town of Gabu.</w:t>
      </w:r>
    </w:p>
    <w:p>
      <w:pPr>
        <w:pStyle w:val="BodyText"/>
      </w:pPr>
      <w:r>
        <w:t xml:space="preserve">The samples of Ga-Mbana comprised</w:t>
      </w:r>
      <w:r>
        <w:t xml:space="preserve"> </w:t>
      </w:r>
      <w:r>
        <w:rPr>
          <w:i/>
        </w:rPr>
        <w:t xml:space="preserve">An. coluzzii</w:t>
      </w:r>
      <w:r>
        <w:t xml:space="preserve"> </w:t>
      </w:r>
      <w:r>
        <w:t xml:space="preserve">whereas the samples of Leibala comprised</w:t>
      </w:r>
      <w:r>
        <w:t xml:space="preserve"> </w:t>
      </w:r>
      <w:r>
        <w:rPr>
          <w:i/>
        </w:rPr>
        <w:t xml:space="preserve">An. gambiae</w:t>
      </w:r>
      <w:r>
        <w:t xml:space="preserve">, all being identified by IGS and SINEX markers as described in Vicente et al. (</w:t>
      </w:r>
      <w:hyperlink w:anchor="ref-YX2M3jrq">
        <w:r>
          <w:rPr>
            <w:rStyle w:val="Hyperlink"/>
          </w:rPr>
          <w:t xml:space="preserve">12</w:t>
        </w:r>
      </w:hyperlink>
      <w:r>
        <w:t xml:space="preserve">).</w:t>
      </w:r>
    </w:p>
    <w:p>
      <w:pPr>
        <w:pStyle w:val="BodyText"/>
      </w:pPr>
      <w:r>
        <w:t xml:space="preserve">The</w:t>
      </w:r>
      <w:r>
        <w:t xml:space="preserve"> </w:t>
      </w:r>
      <w:r>
        <w:rPr>
          <w:i/>
        </w:rPr>
        <w:t xml:space="preserve">kdr</w:t>
      </w:r>
      <w:r>
        <w:t xml:space="preserve"> </w:t>
      </w:r>
      <w:r>
        <w:t xml:space="preserve">pyrethroid target site resistance mutation L1014F occurs at high frequency in Leibala but at very low frequency in Ga-Mbana (</w:t>
      </w:r>
      <w:hyperlink w:anchor="ref-YX2M3jrq">
        <w:r>
          <w:rPr>
            <w:rStyle w:val="Hyperlink"/>
          </w:rPr>
          <w:t xml:space="preserve">12</w:t>
        </w:r>
      </w:hyperlink>
      <w:r>
        <w:t xml:space="preserve">).</w:t>
      </w:r>
    </w:p>
    <w:p>
      <w:pPr>
        <w:pStyle w:val="BodyText"/>
      </w:pPr>
      <w:r>
        <w:t xml:space="preserve">Malaria is meso-hyperendemic (</w:t>
      </w:r>
      <w:hyperlink w:anchor="ref-16as3jwaa">
        <w:r>
          <w:rPr>
            <w:rStyle w:val="Hyperlink"/>
          </w:rPr>
          <w:t xml:space="preserve">13</w:t>
        </w:r>
      </w:hyperlink>
      <w:r>
        <w:t xml:space="preserve">) and sporozoite rates are below 1% in the region.</w:t>
      </w:r>
    </w:p>
    <w:p>
      <w:pPr>
        <w:pStyle w:val="BodyText"/>
      </w:pPr>
      <w:r>
        <w:t xml:space="preserve">Specimens were stored on silica gel and DNA extraction was performed by a phenol-chloroform protocol described in Donnelly et al. (</w:t>
      </w:r>
      <w:hyperlink w:anchor="ref-DnnjILYG">
        <w:r>
          <w:rPr>
            <w:rStyle w:val="Hyperlink"/>
          </w:rPr>
          <w:t xml:space="preserve">14</w:t>
        </w:r>
      </w:hyperlink>
      <w:r>
        <w:t xml:space="preserve">).</w:t>
      </w:r>
    </w:p>
    <w:p>
      <w:pPr>
        <w:pStyle w:val="BodyText"/>
      </w:pPr>
      <w:r>
        <w:rPr>
          <w:b/>
        </w:rPr>
        <w:t xml:space="preserve">Kenya</w:t>
      </w:r>
    </w:p>
    <w:p>
      <w:pPr>
        <w:pStyle w:val="BodyText"/>
      </w:pPr>
      <w:r>
        <w:t xml:space="preserve">New Kenyan specimens were obtained from villages located in Kilifi County near the Kenyan coast between 2000 and 2014.</w:t>
      </w:r>
    </w:p>
    <w:p>
      <w:pPr>
        <w:pStyle w:val="BodyText"/>
      </w:pPr>
      <w:r>
        <w:t xml:space="preserve">All Anopheles mosquito sampling was conducted indoors using CDC light traps.</w:t>
      </w:r>
    </w:p>
    <w:p>
      <w:pPr>
        <w:pStyle w:val="BodyText"/>
      </w:pP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were present at sampling locations (</w:t>
      </w:r>
      <w:hyperlink w:anchor="ref-14yZJJBPD">
        <w:r>
          <w:rPr>
            <w:rStyle w:val="Hyperlink"/>
          </w:rPr>
          <w:t xml:space="preserve">15</w:t>
        </w:r>
      </w:hyperlink>
      <w:r>
        <w:t xml:space="preserve">).</w:t>
      </w:r>
    </w:p>
    <w:p>
      <w:pPr>
        <w:pStyle w:val="BodyText"/>
      </w:pPr>
      <w:r>
        <w:t xml:space="preserve">Sporozoite rates for the area during previous studies were 1.47% (</w:t>
      </w:r>
      <w:hyperlink w:anchor="ref-1C7qEzk6S">
        <w:r>
          <w:rPr>
            <w:rStyle w:val="Hyperlink"/>
          </w:rPr>
          <w:t xml:space="preserve">16</w:t>
        </w:r>
      </w:hyperlink>
      <w:r>
        <w:t xml:space="preserve">).</w:t>
      </w:r>
    </w:p>
    <w:p>
      <w:pPr>
        <w:pStyle w:val="BodyText"/>
      </w:pPr>
      <w:r>
        <w:rPr>
          <w:b/>
        </w:rPr>
        <w:t xml:space="preserve">Mali</w:t>
      </w:r>
    </w:p>
    <w:p>
      <w:pPr>
        <w:pStyle w:val="BodyText"/>
      </w:pPr>
      <w:r>
        <w:t xml:space="preserve">Two further submissions containing collections from 11 sites in Mali are new for phase 3.</w:t>
      </w:r>
    </w:p>
    <w:p>
      <w:pPr>
        <w:pStyle w:val="BodyText"/>
      </w:pPr>
      <w:r>
        <w:t xml:space="preserve">In the first, collections were made in four villages in the Koulikoro region; Tieneguebougou (12.810, -8.080) approximately 20 km north of Bamako,</w:t>
      </w:r>
      <w:r>
        <w:t xml:space="preserve"> </w:t>
      </w:r>
      <w:r>
        <w:t xml:space="preserve">and Kababougou (12.890, -8.150), Ouassorola (12.900, -8.160), Sogolombougou ( 12.880, -8.140), approximately 30 km north of Bamako.</w:t>
      </w:r>
    </w:p>
    <w:p>
      <w:pPr>
        <w:pStyle w:val="BodyText"/>
      </w:pPr>
      <w:r>
        <w:t xml:space="preserve">The collections were made in August 2014 by human landing catch and pyrethrum spray catch.</w:t>
      </w:r>
    </w:p>
    <w:p>
      <w:pPr>
        <w:pStyle w:val="BodyText"/>
      </w:pP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 were collected.</w:t>
      </w:r>
    </w:p>
    <w:p>
      <w:pPr>
        <w:pStyle w:val="BodyText"/>
      </w:pPr>
      <w:r>
        <w:t xml:space="preserve">Specimens were stored in 80% ethanol.</w:t>
      </w:r>
    </w:p>
    <w:p>
      <w:pPr>
        <w:pStyle w:val="BodyText"/>
      </w:pPr>
      <w:r>
        <w:t xml:space="preserve">In the second submission, collections of indoor resting adults were made by spray catch from seven villages in the southern part of Mali in August-September 2004: Banambani (12.800, -8.050), Bancoumana (12.200, -8.200), Douna (13.210, -5.900), Fanzana (13.200, -6.130), Kela (11.880, -8.450), Moribobougou (12.690, -7.870) and N’Gabakoro (12.680, -7.840).</w:t>
      </w:r>
    </w:p>
    <w:p>
      <w:pPr>
        <w:pStyle w:val="BodyText"/>
      </w:pPr>
      <w:r>
        <w:t xml:space="preserve">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w:t>
      </w:r>
    </w:p>
    <w:p>
      <w:pPr>
        <w:pStyle w:val="BodyText"/>
      </w:pP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Malawi</w:t>
      </w:r>
    </w:p>
    <w:p>
      <w:pPr>
        <w:pStyle w:val="BodyText"/>
      </w:pPr>
      <w:r>
        <w:t xml:space="preserve">Specimens were obtained from villages within the catchment of the Majete Malaria Project, Chikhwawa District, Malawi (-15.933, 34.755) (</w:t>
      </w:r>
      <w:hyperlink w:anchor="ref-xsFRxYp6">
        <w:r>
          <w:rPr>
            <w:rStyle w:val="Hyperlink"/>
          </w:rPr>
          <w:t xml:space="preserve">17</w:t>
        </w:r>
      </w:hyperlink>
      <w:r>
        <w:t xml:space="preserve">).</w:t>
      </w:r>
    </w:p>
    <w:p>
      <w:pPr>
        <w:pStyle w:val="BodyText"/>
      </w:pPr>
      <w:r>
        <w:t xml:space="preserve">Mosquitoes were collected indoors and outdoors by Suna light trap in May 2015.</w:t>
      </w:r>
    </w:p>
    <w:p>
      <w:pPr>
        <w:pStyle w:val="BodyText"/>
      </w:pPr>
      <w:r>
        <w:t xml:space="preserve">Chickhwawa District is an area with perennial and intense malaria transmission (</w:t>
      </w:r>
      <w:hyperlink w:anchor="ref-vckO98IK">
        <w:r>
          <w:rPr>
            <w:rStyle w:val="Hyperlink"/>
          </w:rPr>
          <w:t xml:space="preserve">18</w:t>
        </w:r>
      </w:hyperlink>
      <w:r>
        <w:t xml:space="preserve">).</w:t>
      </w:r>
    </w:p>
    <w:p>
      <w:pPr>
        <w:pStyle w:val="BodyText"/>
      </w:pP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hyperlink w:anchor="ref-xsFRxYp6">
        <w:r>
          <w:rPr>
            <w:rStyle w:val="Hyperlink"/>
          </w:rPr>
          <w:t xml:space="preserve">17</w:t>
        </w:r>
      </w:hyperlink>
      <w:r>
        <w:t xml:space="preserve">;</w:t>
      </w:r>
      <w:r>
        <w:t xml:space="preserve"> </w:t>
      </w:r>
      <w:hyperlink w:anchor="ref-s77kHoJc">
        <w:r>
          <w:rPr>
            <w:rStyle w:val="Hyperlink"/>
          </w:rPr>
          <w:t xml:space="preserve">19</w:t>
        </w:r>
      </w:hyperlink>
      <w:r>
        <w:t xml:space="preserve">).</w:t>
      </w:r>
    </w:p>
    <w:p>
      <w:pPr>
        <w:pStyle w:val="BodyText"/>
      </w:pPr>
      <w:r>
        <w:t xml:space="preserve">Specimens were stored over silica and DNA was extracted using the Qiagen plate protocol.</w:t>
      </w:r>
    </w:p>
    <w:p>
      <w:pPr>
        <w:pStyle w:val="BodyText"/>
      </w:pPr>
      <w:r>
        <w:rPr>
          <w:b/>
        </w:rPr>
        <w:t xml:space="preserve">Mozambique</w:t>
      </w:r>
    </w:p>
    <w:p>
      <w:pPr>
        <w:pStyle w:val="BodyText"/>
      </w:pPr>
      <w:r>
        <w:t xml:space="preserve">Mosquito samples were collected in Furvela (-23.716, 35.299), Mozambique, by CDC light traps between December 2003 and April 2004.</w:t>
      </w:r>
    </w:p>
    <w:p>
      <w:pPr>
        <w:pStyle w:val="BodyText"/>
      </w:pPr>
      <w:r>
        <w:t xml:space="preserve">Specimens were stored on silica gel and DNA was extracted according to Collins et al. (</w:t>
      </w:r>
      <w:hyperlink w:anchor="ref-pSmuJkYQ">
        <w:r>
          <w:rPr>
            <w:rStyle w:val="Hyperlink"/>
          </w:rPr>
          <w:t xml:space="preserve">20</w:t>
        </w:r>
      </w:hyperlink>
      <w:r>
        <w:t xml:space="preserve">).</w:t>
      </w:r>
    </w:p>
    <w:p>
      <w:pPr>
        <w:pStyle w:val="BodyText"/>
      </w:pPr>
      <w:r>
        <w:t xml:space="preserve">Contributed specimens consisted of</w:t>
      </w:r>
      <w:r>
        <w:t xml:space="preserve"> </w:t>
      </w:r>
      <w:r>
        <w:rPr>
          <w:i/>
        </w:rPr>
        <w:t xml:space="preserve">An. gambiae</w:t>
      </w:r>
      <w:r>
        <w:t xml:space="preserve"> </w:t>
      </w:r>
      <w:r>
        <w:t xml:space="preserve">individuals identified according to Fanello et al. (</w:t>
      </w:r>
      <w:hyperlink w:anchor="ref-1G04AzsFo">
        <w:r>
          <w:rPr>
            <w:rStyle w:val="Hyperlink"/>
          </w:rPr>
          <w:t xml:space="preserve">2</w:t>
        </w:r>
      </w:hyperlink>
      <w:r>
        <w:t xml:space="preserve">).</w:t>
      </w:r>
    </w:p>
    <w:p>
      <w:pPr>
        <w:pStyle w:val="BodyText"/>
      </w:pP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21</w:t>
        </w:r>
      </w:hyperlink>
      <w:r>
        <w:t xml:space="preserve">).</w:t>
      </w:r>
    </w:p>
    <w:p>
      <w:pPr>
        <w:pStyle w:val="BodyText"/>
      </w:pP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p>
    <w:p>
      <w:pPr>
        <w:pStyle w:val="BodyText"/>
      </w:pPr>
      <w:r>
        <w:t xml:space="preserve">Sporozoite rates around 4% have been reported in</w:t>
      </w:r>
      <w:r>
        <w:t xml:space="preserve"> </w:t>
      </w:r>
      <w:r>
        <w:rPr>
          <w:i/>
        </w:rPr>
        <w:t xml:space="preserve">An. gambiae</w:t>
      </w:r>
      <w:r>
        <w:t xml:space="preserve"> </w:t>
      </w:r>
      <w:r>
        <w:t xml:space="preserve">from Furvela (</w:t>
      </w:r>
      <w:hyperlink w:anchor="ref-f8uRMyY6">
        <w:r>
          <w:rPr>
            <w:rStyle w:val="Hyperlink"/>
          </w:rPr>
          <w:t xml:space="preserve">21</w:t>
        </w:r>
      </w:hyperlink>
      <w:r>
        <w:t xml:space="preserve">).</w:t>
      </w:r>
    </w:p>
    <w:p>
      <w:pPr>
        <w:pStyle w:val="BodyText"/>
      </w:pPr>
      <w:r>
        <w:rPr>
          <w:b/>
        </w:rPr>
        <w:t xml:space="preserve">Tanzania</w:t>
      </w:r>
    </w:p>
    <w:p>
      <w:pPr>
        <w:pStyle w:val="BodyText"/>
      </w:pPr>
      <w:r>
        <w:t xml:space="preserve">Tanzanian samples were collected from four distinct locations.</w:t>
      </w:r>
    </w:p>
    <w:p>
      <w:pPr>
        <w:pStyle w:val="BodyText"/>
      </w:pPr>
      <w:r>
        <w:t xml:space="preserve">Moshi samples came from lower Mabogini (-3.400, 37.350), rice fields near lower Moshi on the southern slope of Mount Kilimanjaro, a region shown to have increasing resistance to pyrethroids (</w:t>
      </w:r>
      <w:hyperlink w:anchor="ref-FVN9nrFP">
        <w:r>
          <w:rPr>
            <w:rStyle w:val="Hyperlink"/>
          </w:rPr>
          <w:t xml:space="preserve">22</w:t>
        </w:r>
      </w:hyperlink>
      <w:r>
        <w:t xml:space="preserve">).</w:t>
      </w:r>
    </w:p>
    <w:p>
      <w:pPr>
        <w:pStyle w:val="BodyText"/>
      </w:pPr>
      <w:r>
        <w:t xml:space="preserve">Mosquitoes were collected as larvae, during the rice growing season in August-September 2012, raised to adults and females bioassayed in WHO tubes for one hour with 0.05% lambda cyhalothrin (</w:t>
      </w:r>
      <w:r>
        <w:t xml:space="preserve">[</w:t>
      </w:r>
      <w:r>
        <w:rPr>
          <w:b/>
        </w:rPr>
        <w:t xml:space="preserve">???</w:t>
      </w:r>
      <w:r>
        <w:t xml:space="preserve">]</w:t>
      </w:r>
      <w:r>
        <w:t xml:space="preserve">).</w:t>
      </w:r>
    </w:p>
    <w:p>
      <w:pPr>
        <w:pStyle w:val="BodyText"/>
      </w:pPr>
      <w:r>
        <w:t xml:space="preserve">Alive and dead mosquitoes were preserved over silica.</w:t>
      </w:r>
    </w:p>
    <w:p>
      <w:pPr>
        <w:pStyle w:val="BodyText"/>
      </w:pPr>
      <w:r>
        <w:t xml:space="preserve">In Tanzanian samples screened in Kabula et al. (</w:t>
      </w:r>
      <w:hyperlink w:anchor="ref-ca2mjT0Y">
        <w:r>
          <w:rPr>
            <w:rStyle w:val="Hyperlink"/>
          </w:rPr>
          <w:t xml:space="preserve">23</w:t>
        </w:r>
      </w:hyperlink>
      <w:r>
        <w:t xml:space="preserve">), Moshi was the most pyrethroid resistant population, they were found to be completely DDT susceptible, only in one out of 642 mosquitoes assayed by Matowo et al. (</w:t>
      </w:r>
      <w:hyperlink w:anchor="ref-FVN9nrFP">
        <w:r>
          <w:rPr>
            <w:rStyle w:val="Hyperlink"/>
          </w:rPr>
          <w:t xml:space="preserve">22</w:t>
        </w:r>
      </w:hyperlink>
      <w:r>
        <w:t xml:space="preserve">) 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 (-1.417, 34.183) about 410 km north west of Moshi, during August 2012.</w:t>
      </w:r>
    </w:p>
    <w:p>
      <w:pPr>
        <w:pStyle w:val="BodyText"/>
      </w:pPr>
      <w:r>
        <w:t xml:space="preserve">Mosquito larvae were collected, raised to adults and females bioassayed with a range of insecticides in WHO tubes for one hour (</w:t>
      </w:r>
      <w:r>
        <w:t xml:space="preserve">[</w:t>
      </w:r>
      <w:r>
        <w:rPr>
          <w:b/>
        </w:rPr>
        <w:t xml:space="preserve">???</w:t>
      </w:r>
      <w:r>
        <w:t xml:space="preserve">]</w:t>
      </w:r>
      <w:r>
        <w:t xml:space="preserve">),</w:t>
      </w:r>
      <w:r>
        <w:t xml:space="preserve"> </w:t>
      </w:r>
      <w:r>
        <w:t xml:space="preserve">finding almost complete multi-insecticide susceptibility: permethrin (100% mortality), lambda cyhalothrin (97%), fenitrothion (100%), DDT (100%) and bendiocarb (100%) (Nyka, T. unpublished data – Insecticide Resistance Monitoring Report 2012. NIMR Tanzania).</w:t>
      </w:r>
    </w:p>
    <w:p>
      <w:pPr>
        <w:pStyle w:val="BodyText"/>
      </w:pPr>
      <w:r>
        <w:t xml:space="preserve">Mulheza samples were collected from Zeneti village (-5.217, 38.650), northeast Tanzania.</w:t>
      </w:r>
    </w:p>
    <w:p>
      <w:pPr>
        <w:pStyle w:val="BodyText"/>
      </w:pPr>
      <w:r>
        <w:t xml:space="preserve">Malaria is intense and perennial with transmission peaking after the rainy season in May and June (</w:t>
      </w:r>
      <w:hyperlink w:anchor="ref-ca2mjT0Y">
        <w:r>
          <w:rPr>
            <w:rStyle w:val="Hyperlink"/>
          </w:rPr>
          <w:t xml:space="preserve">23</w:t>
        </w:r>
      </w:hyperlink>
      <w:r>
        <w:t xml:space="preserve">).</w:t>
      </w:r>
      <w:r>
        <w:t xml:space="preserve"> </w:t>
      </w:r>
      <w:r>
        <w:t xml:space="preserve">Mosquitoes were sampled between November 2012 and May 2013.</w:t>
      </w:r>
    </w:p>
    <w:p>
      <w:pPr>
        <w:pStyle w:val="BodyText"/>
      </w:pPr>
      <w:r>
        <w:t xml:space="preserve">Indoor resting collections were used to obtain live females for deltamethrin susceptibility testing and pyrethrum spray catches were used for mosquitoes that were collected for blood meal analysis.</w:t>
      </w:r>
    </w:p>
    <w:p>
      <w:pPr>
        <w:pStyle w:val="BodyText"/>
      </w:pPr>
      <w:r>
        <w:t xml:space="preserve">Collections were conducted between 06:00 and 09:00 from randomly selected houses.</w:t>
      </w:r>
    </w:p>
    <w:p>
      <w:pPr>
        <w:pStyle w:val="BodyText"/>
      </w:pPr>
      <w:r>
        <w:t xml:space="preserve">Live mosquitoes collected for susceptibility testing were provided with 10% glucose solution and transported to the field insectary.</w:t>
      </w:r>
    </w:p>
    <w:p>
      <w:pPr>
        <w:pStyle w:val="BodyText"/>
      </w:pPr>
      <w:r>
        <w:t xml:space="preserve">Mosquitoes were sorted and morphologically identified to species, carcasses were stored individually over desiccant for laboratory processing.</w:t>
      </w:r>
      <w:r>
        <w:t xml:space="preserve"> </w:t>
      </w:r>
      <w:r>
        <w:t xml:space="preserve">Muleba (1.750, 31.667), the final collection region, is in the North-western part of Tanzania.</w:t>
      </w:r>
    </w:p>
    <w:p>
      <w:pPr>
        <w:pStyle w:val="BodyText"/>
      </w:pPr>
      <w:r>
        <w:t xml:space="preserve">The district is known to be a malaria epidemic prone area with unstable transmission of varying seasonality.</w:t>
      </w:r>
    </w:p>
    <w:p>
      <w:pPr>
        <w:pStyle w:val="BodyText"/>
      </w:pPr>
      <w:r>
        <w:t xml:space="preserve">The highest peak of malaria transmission is usually reached between May-July and November-January, which results from proceeding rain seasons.</w:t>
      </w:r>
    </w:p>
    <w:p>
      <w:pPr>
        <w:pStyle w:val="BodyText"/>
      </w:pPr>
      <w:r>
        <w:t xml:space="preserve">There have been malaria vector control efforts since 2007 when indoor residual spraying using Lambdacyhalothrin was introduced.</w:t>
      </w:r>
    </w:p>
    <w:p>
      <w:pPr>
        <w:pStyle w:val="BodyText"/>
      </w:pP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w:t>
      </w:r>
      <w:r>
        <w:t xml:space="preserve"> </w:t>
      </w:r>
      <w:r>
        <w:t xml:space="preserve">s.s population (</w:t>
      </w:r>
      <w:hyperlink w:anchor="ref-ca2mjT0Y">
        <w:r>
          <w:rPr>
            <w:rStyle w:val="Hyperlink"/>
          </w:rPr>
          <w:t xml:space="preserve">23</w:t>
        </w:r>
      </w:hyperlink>
      <w:r>
        <w:t xml:space="preserve">;</w:t>
      </w:r>
      <w:r>
        <w:t xml:space="preserve"> </w:t>
      </w:r>
      <w:hyperlink w:anchor="ref-dB1ebxOj">
        <w:r>
          <w:rPr>
            <w:rStyle w:val="Hyperlink"/>
          </w:rPr>
          <w:t xml:space="preserve">24</w:t>
        </w:r>
      </w:hyperlink>
      <w:r>
        <w:t xml:space="preserve">).</w:t>
      </w:r>
    </w:p>
    <w:p>
      <w:pPr>
        <w:pStyle w:val="BodyText"/>
      </w:pPr>
      <w:r>
        <w:t xml:space="preserve">Sampling was conducted over six months, which include both dry and rainy season and covers 6 villages selected to represent all major ecological systems in the district.</w:t>
      </w:r>
    </w:p>
    <w:p>
      <w:pPr>
        <w:pStyle w:val="BodyText"/>
      </w:pPr>
      <w:r>
        <w:rPr>
          <w:b/>
        </w:rPr>
        <w:t xml:space="preserve">Uganda</w:t>
      </w:r>
    </w:p>
    <w:p>
      <w:pPr>
        <w:pStyle w:val="BodyText"/>
      </w:pPr>
      <w:r>
        <w:t xml:space="preserve">In Uganda, a single new site is sampled in phase 3.</w:t>
      </w:r>
    </w:p>
    <w:p>
      <w:pPr>
        <w:pStyle w:val="BodyText"/>
      </w:pPr>
      <w:r>
        <w:t xml:space="preserve">In Kihihi subcounty, Kanungu District (-0.751, 29.701), resting mosquitoes were collected during October and November 2012.</w:t>
      </w:r>
    </w:p>
    <w:p>
      <w:pPr>
        <w:pStyle w:val="BodyText"/>
      </w:pPr>
      <w:r>
        <w:t xml:space="preserve">Kihihi is located in an upland area with seasonal malaria transmission (</w:t>
      </w:r>
      <w:hyperlink w:anchor="ref-m3y4gwzb">
        <w:r>
          <w:rPr>
            <w:rStyle w:val="Hyperlink"/>
          </w:rPr>
          <w:t xml:space="preserve">25</w:t>
        </w:r>
      </w:hyperlink>
      <w:r>
        <w:t xml:space="preserve">).</w:t>
      </w:r>
    </w:p>
    <w:p>
      <w:pPr>
        <w:pStyle w:val="BodyText"/>
      </w:pPr>
      <w:r>
        <w:t xml:space="preserve">All specimens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r>
        <w:t xml:space="preserve">[</w:t>
      </w:r>
      <w:r>
        <w:rPr>
          <w:b/>
        </w:rPr>
        <w:t xml:space="preserve">???</w:t>
      </w:r>
      <w:r>
        <w:t xml:space="preserve">]</w:t>
      </w:r>
      <w:r>
        <w:t xml:space="preserve">).</w:t>
      </w:r>
    </w:p>
    <w:p>
      <w:pPr>
        <w:pStyle w:val="BodyText"/>
      </w:pPr>
      <w:r>
        <w:t xml:space="preserve">Specimens were stored in 80% ethanol and DNA was extracted using the Qiagen plate protocol.</w:t>
      </w:r>
    </w:p>
    <w:p>
      <w:pPr>
        <w:pStyle w:val="BodyText"/>
      </w:pPr>
      <w:r>
        <w:t xml:space="preserve">Details of natural population samples previously described in phases 1 and 2 can be found in the Supplementary Information of The Anopheles gambiae 1000 Genomes Consortium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 - respectively).</w:t>
      </w:r>
    </w:p>
    <w:p>
      <w:pPr>
        <w:pStyle w:val="BodyText"/>
      </w:pPr>
      <w:r>
        <w:rPr>
          <w:b/>
        </w:rPr>
        <w:t xml:space="preserve">Colony Crosses</w:t>
      </w:r>
    </w:p>
    <w:p>
      <w:pPr>
        <w:pStyle w:val="BodyText"/>
      </w:pPr>
      <w:r>
        <w:t xml:space="preserve">15 crosses were contributed to Ag1000G phase 3.</w:t>
      </w:r>
    </w:p>
    <w:p>
      <w:pPr>
        <w:pStyle w:val="BodyText"/>
      </w:pPr>
      <w:r>
        <w:t xml:space="preserve">The crosses were generated using parents from eight different colonies: G3(MRA-112); Kisumu(MRA-762); Pimperena (canonical representative of</w:t>
      </w:r>
      <w:r>
        <w:t xml:space="preserve"> </w:t>
      </w:r>
      <w:r>
        <w:rPr>
          <w:i/>
        </w:rPr>
        <w:t xml:space="preserve">An. gambiae</w:t>
      </w:r>
      <w:r>
        <w:t xml:space="preserve"> </w:t>
      </w:r>
      <w:r>
        <w:t xml:space="preserve">species; MRA-861); Ghana (recent colony of</w:t>
      </w:r>
      <w:r>
        <w:t xml:space="preserve"> </w:t>
      </w:r>
      <w:r>
        <w:rPr>
          <w:i/>
        </w:rPr>
        <w:t xml:space="preserve">An. coluzzii</w:t>
      </w:r>
      <w:r>
        <w:t xml:space="preserve"> </w:t>
      </w:r>
      <w:r>
        <w:t xml:space="preserve">from Okyereko, southern Ghana (</w:t>
      </w:r>
      <w:hyperlink w:anchor="ref-z9HqxYF3">
        <w:r>
          <w:rPr>
            <w:rStyle w:val="Hyperlink"/>
          </w:rPr>
          <w:t xml:space="preserve">26</w:t>
        </w:r>
      </w:hyperlink>
      <w:r>
        <w:t xml:space="preserve">)); Mali-NIH (canonical representative of</w:t>
      </w:r>
      <w:r>
        <w:t xml:space="preserve"> </w:t>
      </w:r>
      <w:r>
        <w:rPr>
          <w:i/>
        </w:rPr>
        <w:t xml:space="preserve">An. coluzzii</w:t>
      </w:r>
      <w:r>
        <w:t xml:space="preserve"> </w:t>
      </w:r>
      <w:r>
        <w:t xml:space="preserve">species; Niono, MRA-860); (P)Akron (Benin, MRA-913); Nagongera (Tororo, Uganda); and Tiassalé (southern Cote d’Ivoire (</w:t>
      </w:r>
      <w:hyperlink w:anchor="ref-z9HqxYF3">
        <w:r>
          <w:rPr>
            <w:rStyle w:val="Hyperlink"/>
          </w:rPr>
          <w:t xml:space="preserve">26</w:t>
        </w:r>
      </w:hyperlink>
      <w:r>
        <w:t xml:space="preserve">)).</w:t>
      </w:r>
    </w:p>
    <w:p>
      <w:pPr>
        <w:pStyle w:val="BodyText"/>
      </w:pPr>
      <w:r>
        <w:t xml:space="preserve">The labels, e.g. </w:t>
      </w:r>
      <w:r>
        <w:t xml:space="preserve">“</w:t>
      </w:r>
      <w:r>
        <w:t xml:space="preserve">29-2</w:t>
      </w:r>
      <w:r>
        <w:t xml:space="preserve">”</w:t>
      </w:r>
      <w:r>
        <w:t xml:space="preserve">, are identifiers used for each of the crosses within the project and have no special meaning.</w:t>
      </w:r>
    </w:p>
    <w:p>
      <w:pPr>
        <w:pStyle w:val="BodyText"/>
      </w:pPr>
      <w:r>
        <w:t xml:space="preserve">Full full details of cross production, sequencing and quality control is described in the Supplementary Information of The Anopheles gambiae 1000 Genomes Consortium (</w:t>
      </w:r>
      <w:r>
        <w:t xml:space="preserve">[</w:t>
      </w:r>
      <w:r>
        <w:rPr>
          <w:b/>
        </w:rPr>
        <w:t xml:space="preserve">???</w:t>
      </w:r>
      <w:r>
        <w:t xml:space="preserve">]</w:t>
      </w:r>
      <w:r>
        <w:t xml:space="preserve">).</w:t>
      </w:r>
    </w:p>
    <w:p>
      <w:pPr>
        <w:pStyle w:val="BodyText"/>
      </w:pPr>
      <w:r>
        <w:t xml:space="preserve">The only difference between the production of the four crosses that are novel to phase 3: B4, K2, K4 and K6, and those from earlier phases of the project, is that multiple males and multiple females were placed together for mating, then all male and all egg laying female mosquitoes were sequenced.</w:t>
      </w:r>
    </w:p>
    <w:p>
      <w:pPr>
        <w:pStyle w:val="BodyText"/>
      </w:pPr>
      <w:r>
        <w:t xml:space="preserve">This necessitated matching up potential fathers of crosses with the correct mother and offspring.</w:t>
      </w:r>
    </w:p>
    <w:p>
      <w:pPr>
        <w:pStyle w:val="BodyText"/>
      </w:pPr>
      <w:r>
        <w:t xml:space="preserve">For each cross for which the father was in doubt, the list of potential parental pairs was computed.</w:t>
      </w:r>
    </w:p>
    <w:p>
      <w:pPr>
        <w:pStyle w:val="BodyText"/>
      </w:pPr>
      <w:r>
        <w:t xml:space="preserve">For each of these pairs, for each chromosome, the Mendelian error was computed for every sample of the progeny and the median value (along samples) was plotted for every computation.</w:t>
      </w:r>
    </w:p>
    <w:p>
      <w:pPr>
        <w:pStyle w:val="BodyText"/>
      </w:pPr>
      <w:r>
        <w:t xml:space="preserve">If one pair yielded median Mendelian errors significantly lower for every chromosome than any other pair (except X which was consistent no matter the parents), that pair was chosen as the parsimonious parents.</w:t>
      </w:r>
    </w:p>
    <w:p>
      <w:pPr>
        <w:pStyle w:val="BodyText"/>
      </w:pPr>
      <w:r>
        <w:t xml:space="preserve">In four crosses (B4, K2, K4 and K6) parental pairs could be clearly identified and these crosses could, therefore, be included in the phase 3 data release.</w:t>
      </w:r>
    </w:p>
    <w:p>
      <w:pPr>
        <w:pStyle w:val="BodyText"/>
      </w:pPr>
      <w:r>
        <w:t xml:space="preserve">Two of the novel crosses, K4 and K6, were found to be fathered by the same male, AC0398.</w:t>
      </w:r>
    </w:p>
    <w:p>
      <w:pPr>
        <w:pStyle w:val="Heading2"/>
      </w:pPr>
      <w:bookmarkStart w:id="40" w:name="whole-genome-sequencing-and-alignment-1"/>
      <w:r>
        <w:t xml:space="preserve">Whole Genome Sequencing and Alignment</w:t>
      </w:r>
      <w:bookmarkEnd w:id="40"/>
    </w:p>
    <w:p>
      <w:pPr>
        <w:pStyle w:val="FirstParagraph"/>
      </w:pPr>
      <w:r>
        <w:t xml:space="preserve">4,693 individual mosquitoes were sequenced using the Illumina HiSeq2000 (n=3,130) and the Illumina HiSeqX (n=1,563) to a target coverage of 30X.</w:t>
      </w:r>
    </w:p>
    <w:p>
      <w:pPr>
        <w:pStyle w:val="BodyText"/>
      </w:pPr>
      <w:r>
        <w:t xml:space="preserve">Reads were aligned to the AgamP4 reference genome using</w:t>
      </w:r>
      <w:r>
        <w:t xml:space="preserve"> </w:t>
      </w:r>
      <w:r>
        <w:rPr>
          <w:rStyle w:val="VerbatimChar"/>
        </w:rPr>
        <w:t xml:space="preserve">bwa</w:t>
      </w:r>
      <w:r>
        <w:t xml:space="preserve"> </w:t>
      </w:r>
      <w:r>
        <w:t xml:space="preserve">version</w:t>
      </w:r>
      <w:r>
        <w:t xml:space="preserve"> </w:t>
      </w:r>
      <w:r>
        <w:rPr>
          <w:rStyle w:val="VerbatimChar"/>
        </w:rPr>
        <w:t xml:space="preserve">0.7.15</w:t>
      </w:r>
      <w:r>
        <w:t xml:space="preserve">.</w:t>
      </w:r>
    </w:p>
    <w:p>
      <w:pPr>
        <w:pStyle w:val="BodyText"/>
      </w:pPr>
      <w:r>
        <w:t xml:space="preserve">Indel realignment was performed using GATK</w:t>
      </w:r>
      <w:r>
        <w:t xml:space="preserve"> </w:t>
      </w:r>
      <w:r>
        <w:rPr>
          <w:rStyle w:val="VerbatimChar"/>
        </w:rPr>
        <w:t xml:space="preserve">v3.7-0</w:t>
      </w:r>
      <w:r>
        <w:t xml:space="preserve"> </w:t>
      </w:r>
      <w:r>
        <w:t xml:space="preserve">RealignerTargetCreator and IndelRealigner.</w:t>
      </w:r>
    </w:p>
    <w:p>
      <w:pPr>
        <w:pStyle w:val="BodyText"/>
      </w:pPr>
      <w:r>
        <w:t xml:space="preserve">Single nucleotide polymophisms were called against AgamP4 using GATK UnifiedGenotyper</w:t>
      </w:r>
      <w:r>
        <w:t xml:space="preserve"> </w:t>
      </w:r>
      <w:r>
        <w:rPr>
          <w:rStyle w:val="VerbatimChar"/>
        </w:rPr>
        <w:t xml:space="preserve">v3.7-0</w:t>
      </w:r>
      <w:r>
        <w:t xml:space="preserve">.</w:t>
      </w:r>
    </w:p>
    <w:p>
      <w:pPr>
        <w:pStyle w:val="BodyText"/>
      </w:pPr>
      <w:r>
        <w:t xml:space="preserve">Sample genotypes were called independently, in genotyping mode, given all possible alleles at each site, allowing parallelisation over samples.</w:t>
      </w:r>
    </w:p>
    <w:p>
      <w:pPr>
        <w:pStyle w:val="BodyText"/>
      </w:pPr>
      <w:r>
        <w:t xml:space="preserve">Coverage considered at individual sites was capped at 250X by random downsampling.</w:t>
      </w:r>
    </w:p>
    <w:p>
      <w:pPr>
        <w:pStyle w:val="BodyText"/>
      </w:pPr>
      <w:r>
        <w:t xml:space="preserve">Full details of pipelines including all parameter settings are available in supplementary information.</w:t>
      </w:r>
    </w:p>
    <w:p>
      <w:pPr>
        <w:pStyle w:val="BodyText"/>
      </w:pPr>
      <w:r>
        <w:t xml:space="preserve">Following successfull completion of the pipeline samples entered the sample quality control (QC) process.</w:t>
      </w:r>
    </w:p>
    <w:p>
      <w:pPr>
        <w:pStyle w:val="Heading1"/>
      </w:pPr>
      <w:bookmarkStart w:id="41" w:name="sample-qc-1"/>
      <w:r>
        <w:t xml:space="preserve">Sample QC</w:t>
      </w:r>
      <w:bookmarkEnd w:id="41"/>
    </w:p>
    <w:p>
      <w:pPr>
        <w:pStyle w:val="FirstParagraph"/>
      </w:pPr>
      <w:r>
        <w:t xml:space="preserve">The sample QC process was composed of three distinct stages: sequence quality assurance, replicate handling, and anomaly detection.</w:t>
      </w:r>
    </w:p>
    <w:p>
      <w:pPr>
        <w:pStyle w:val="BodyText"/>
      </w:pPr>
      <w:r>
        <w:t xml:space="preserve">To meet the requirements of sequence quality assurance median coverage had to be at least 10X, and minumum 50% of the genome covered by at least 1X.</w:t>
      </w:r>
    </w:p>
    <w:p>
      <w:pPr>
        <w:pStyle w:val="BodyText"/>
      </w:pPr>
      <w:r>
        <w:t xml:space="preserve">We also implemented the test for contamination in NGS alignments described in Jun et al (https://doi.org/10.1016/j.ajhg.2012.09.004).</w:t>
      </w:r>
    </w:p>
    <w:p>
      <w:pPr>
        <w:pStyle w:val="BodyText"/>
      </w:pPr>
      <w:r>
        <w:t xml:space="preserve">Briefly the method estimates the likelihood of the observed alternate and reference allele counts under different contamination fractions given population allele frequencies.</w:t>
      </w:r>
    </w:p>
    <w:p>
      <w:pPr>
        <w:pStyle w:val="BodyText"/>
      </w:pPr>
      <w:r>
        <w:t xml:space="preserve">Population allele frequencies were estimated from the Ag1000G phase 2 data.</w:t>
      </w:r>
    </w:p>
    <w:p>
      <w:pPr>
        <w:pStyle w:val="BodyText"/>
      </w:pPr>
      <w:r>
        <w:t xml:space="preserve">The model computes a maximum likelihood value for a parameter representing percentage contamination (alpha).</w:t>
      </w:r>
    </w:p>
    <w:p>
      <w:pPr>
        <w:pStyle w:val="BodyText"/>
      </w:pPr>
      <w:r>
        <w:t xml:space="preserve">Where this parameter was 4.5% or greater the sample was excluded.</w:t>
      </w:r>
    </w:p>
    <w:p>
      <w:pPr>
        <w:pStyle w:val="BodyText"/>
      </w:pPr>
      <w:r>
        <w:t xml:space="preserve">We also made sex calls based on the modal coverage ratio X:3R.</w:t>
      </w:r>
    </w:p>
    <w:p>
      <w:pPr>
        <w:pStyle w:val="BodyText"/>
      </w:pPr>
      <w:r>
        <w:t xml:space="preserve">3R was selected as representative of autosomal coverage as it is free from inversions and large regions of heterochromatin.</w:t>
      </w:r>
    </w:p>
    <w:p>
      <w:pPr>
        <w:pStyle w:val="BodyText"/>
      </w:pPr>
      <w:r>
        <w:t xml:space="preserve">The modal coverage was used owing to concerns around the high skewdness of coverage distributions.</w:t>
      </w:r>
    </w:p>
    <w:p>
      <w:pPr>
        <w:pStyle w:val="BodyText"/>
      </w:pPr>
      <w:r>
        <w:t xml:space="preserve">To mitigate this further, when computing the modal coverage we only considered sites where coverage was at least 2X.</w:t>
      </w:r>
    </w:p>
    <w:p>
      <w:pPr>
        <w:pStyle w:val="BodyText"/>
      </w:pPr>
      <w:r>
        <w:t xml:space="preserve">The sample was classed as male where the coverage ratio was between 0.4-0.6, and female between 0.8-1.2.</w:t>
      </w:r>
    </w:p>
    <w:p>
      <w:pPr>
        <w:pStyle w:val="BodyText"/>
      </w:pPr>
      <w:r>
        <w:t xml:space="preserve">Where the ratio was outside these limits, the sex call was not made and the sample dropped.</w:t>
      </w:r>
    </w:p>
    <w:p>
      <w:pPr>
        <w:pStyle w:val="BodyText"/>
      </w:pPr>
      <w:r>
        <w:t xml:space="preserve">One of the submission sets from The Gambia, was composed entirely of Whole Genome Amplified (WGA) samples.</w:t>
      </w:r>
    </w:p>
    <w:p>
      <w:pPr>
        <w:pStyle w:val="BodyText"/>
      </w:pPr>
      <w:r>
        <w:t xml:space="preserve">These received a sex call where possible but the decision was made not to exclude based on ratio, due to the inherent value of this submission.</w:t>
      </w:r>
    </w:p>
    <w:p>
      <w:pPr>
        <w:pStyle w:val="BodyText"/>
      </w:pPr>
      <w:r>
        <w:t xml:space="preserve">The fact this set is entirely WGA was considered throughout the analysis of these samples.</w:t>
      </w:r>
    </w:p>
    <w:p>
      <w:pPr>
        <w:pStyle w:val="BodyText"/>
      </w:pPr>
      <w:r>
        <w:t xml:space="preserve">The sample QC process also included assessment of technical replicates.</w:t>
      </w:r>
    </w:p>
    <w:p>
      <w:pPr>
        <w:pStyle w:val="BodyText"/>
      </w:pPr>
      <w:r>
        <w:t xml:space="preserve">We computed pairwise genetic distance between all sample pairs within a submission set.</w:t>
      </w:r>
    </w:p>
    <w:p>
      <w:pPr>
        <w:pStyle w:val="BodyText"/>
      </w:pPr>
      <w:r>
        <w:t xml:space="preserve">The metric used was Hamming between alleles, so a genotype of 0/1 records a value of 1 against the genotype 1/2, allowing straightforward handling of multiallelic SNPs.</w:t>
      </w:r>
    </w:p>
    <w:p>
      <w:pPr>
        <w:pStyle w:val="BodyText"/>
      </w:pPr>
      <w:r>
        <w:t xml:space="preserve">Only sites where both samples had a genotype call were included, mean distance was calculated over a denominator of the number of assessed sites multiplied by 2 for diploidy.</w:t>
      </w:r>
    </w:p>
    <w:p>
      <w:pPr>
        <w:pStyle w:val="BodyText"/>
      </w:pPr>
      <w:r>
        <w:t xml:space="preserve">Computations were initially carried out on a downsampled set of 10 x 100,000 contiguous sites genome wide to be computationally feasible.</w:t>
      </w:r>
    </w:p>
    <w:p>
      <w:pPr>
        <w:pStyle w:val="BodyText"/>
      </w:pPr>
      <w:r>
        <w:t xml:space="preserve">This use of chunks was convenient to leverage the underlying storage of data in</w:t>
      </w:r>
      <w:r>
        <w:t xml:space="preserve"> </w:t>
      </w:r>
      <w:r>
        <w:rPr>
          <w:rStyle w:val="VerbatimChar"/>
        </w:rPr>
        <w:t xml:space="preserve">zarr</w:t>
      </w:r>
      <w:r>
        <w:t xml:space="preserve"> </w:t>
      </w:r>
      <w:r>
        <w:t xml:space="preserve">format.</w:t>
      </w:r>
    </w:p>
    <w:p>
      <w:pPr>
        <w:pStyle w:val="BodyText"/>
      </w:pPr>
      <w:r>
        <w:t xml:space="preserve">Where a pair of samples fell beneath a conservative threshold of 0.012, the true genetic distance (i.e. without downsampling) was computed across all sites.</w:t>
      </w:r>
    </w:p>
    <w:p>
      <w:pPr>
        <w:pStyle w:val="BodyText"/>
      </w:pPr>
      <w:r>
        <w:t xml:space="preserve">For each pair of technical replicates, we excluded both members of the pair where genetic distance was above 0.006.</w:t>
      </w:r>
    </w:p>
    <w:p>
      <w:pPr>
        <w:pStyle w:val="BodyText"/>
      </w:pPr>
      <w:r>
        <w:t xml:space="preserve">Where replicate pairs met the concordance threshold we excluded the lower quality sample.</w:t>
      </w:r>
    </w:p>
    <w:p>
      <w:pPr>
        <w:pStyle w:val="BodyText"/>
      </w:pPr>
      <w:r>
        <w:t xml:space="preserve">Quality was determined based on the skewdness of mean to median, i.e. </w:t>
      </w:r>
      <m:oMath>
        <m:r>
          <m:t>1</m:t>
        </m:r>
        <m:r>
          <m:t>−</m:t>
        </m:r>
        <m:r>
          <m:t>|</m:t>
        </m:r>
        <m:r>
          <m:t>m</m:t>
        </m:r>
        <m:r>
          <m:t>e</m:t>
        </m:r>
        <m:r>
          <m:t>a</m:t>
        </m:r>
        <m:sSub>
          <m:e>
            <m:r>
              <m:t>n</m:t>
            </m:r>
          </m:e>
          <m:sub>
            <m:r>
              <m:t>c</m:t>
            </m:r>
            <m:r>
              <m:t>o</m:t>
            </m:r>
            <m:r>
              <m:t>v</m:t>
            </m:r>
          </m:sub>
        </m:sSub>
        <m:r>
          <m:t>/</m:t>
        </m:r>
        <m:r>
          <m:t>m</m:t>
        </m:r>
        <m:r>
          <m:t>e</m:t>
        </m:r>
        <m:r>
          <m:t>d</m:t>
        </m:r>
        <m:r>
          <m:t>i</m:t>
        </m:r>
        <m:r>
          <m:t>a</m:t>
        </m:r>
        <m:sSub>
          <m:e>
            <m:r>
              <m:t>n</m:t>
            </m:r>
          </m:e>
          <m:sub>
            <m:r>
              <m:t>c</m:t>
            </m:r>
            <m:r>
              <m:t>o</m:t>
            </m:r>
            <m:r>
              <m:t>v</m:t>
            </m:r>
          </m:sub>
        </m:sSub>
        <m:r>
          <m:t>|</m:t>
        </m:r>
      </m:oMath>
      <w:r>
        <w:t xml:space="preserve">.</w:t>
      </w:r>
    </w:p>
    <w:p>
      <w:pPr>
        <w:pStyle w:val="BodyText"/>
      </w:pPr>
      <w:r>
        <w:t xml:space="preserve">The sample with the lower value was preferred as it suggests a more normal coverage distribution.</w:t>
      </w:r>
    </w:p>
    <w:p>
      <w:pPr>
        <w:pStyle w:val="BodyText"/>
      </w:pPr>
      <w:r>
        <w:t xml:space="preserve">To identify unknown replicate pairs as a result of sample mix ups or mislabelling, we screened within submission sets for unexpected pairs, using the genetic distance cut off of 0.006 as above.</w:t>
      </w:r>
    </w:p>
    <w:p>
      <w:pPr>
        <w:pStyle w:val="BodyText"/>
      </w:pPr>
      <w:r>
        <w:t xml:space="preserve">We did not attempt to identify unknown replicate pairs in the AG1000G-X submission set, made up of laboratory experimental crosses,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Using the PCA implementation in</w:t>
      </w:r>
      <w:r>
        <w:t xml:space="preserve"> </w:t>
      </w:r>
      <w:r>
        <w:rPr>
          <w:rStyle w:val="VerbatimChar"/>
        </w:rPr>
        <w:t xml:space="preserve">scikit-allel v2.1.0</w:t>
      </w:r>
      <w:r>
        <w:t xml:space="preserve"> </w:t>
      </w:r>
      <w:r>
        <w:t xml:space="preserve">we downsampled to 100,000 segregating non-singleton sites from chromosomes 3R and 3L, to avoid regions complicated by known introgression loci or paracentric inversions.</w:t>
      </w:r>
    </w:p>
    <w:p>
      <w:pPr>
        <w:pStyle w:val="BodyText"/>
      </w:pPr>
      <w:r>
        <w:t xml:space="preserve">Multiallelic sites were included as dummy rows by melting the data structure.</w:t>
      </w:r>
    </w:p>
    <w:p>
      <w:pPr>
        <w:pStyle w:val="BodyText"/>
      </w:pPr>
      <w:r>
        <w:t xml:space="preserve">A careful review process identified: a) samples that dominated single principal components, either individually or in very small numbers.</w:t>
      </w:r>
    </w:p>
    <w:p>
      <w:pPr>
        <w:pStyle w:val="BodyText"/>
      </w:pPr>
      <w:r>
        <w:t xml:space="preserve">This suggests an individual belonging to another Anopheline species, or some inherent problem with the sample.</w:t>
      </w:r>
    </w:p>
    <w:p>
      <w:pPr>
        <w:pStyle w:val="BodyText"/>
      </w:pPr>
      <w:r>
        <w:t xml:space="preserve">Or b) samples that clustered with other samples inconsistently with metadata.</w:t>
      </w:r>
    </w:p>
    <w:p>
      <w:pPr>
        <w:pStyle w:val="BodyText"/>
      </w:pPr>
      <w:r>
        <w:t xml:space="preserve">This was a subjective assessment, but bore in mind the given collection location, time, and PCR species assignment (where available) of the sample.</w:t>
      </w:r>
    </w:p>
    <w:p>
      <w:pPr>
        <w:pStyle w:val="BodyText"/>
      </w:pPr>
      <w:r>
        <w:t xml:space="preserve">Multiple geographical sites submitted by the same partner were also considered, where sample mix ups formed the most parsimonious explanations of incongruent clustering.</w:t>
      </w:r>
    </w:p>
    <w:p>
      <w:pPr>
        <w:pStyle w:val="Heading3"/>
      </w:pPr>
      <w:bookmarkStart w:id="42" w:name="species-assignment-and-sex-calling-1"/>
      <w:r>
        <w:t xml:space="preserve">Species assignment and sex calling</w:t>
      </w:r>
      <w:bookmarkEnd w:id="42"/>
    </w:p>
    <w:p>
      <w:pPr>
        <w:pStyle w:val="FirstParagraph"/>
      </w:pPr>
      <w:r>
        <w:t xml:space="preserve">Ancestry informative markers were used to assign species in our cohort.</w:t>
      </w:r>
    </w:p>
    <w:p>
      <w:pPr>
        <w:pStyle w:val="BodyText"/>
      </w:pPr>
      <w:r>
        <w:t xml:space="preserve">To derive markers informative between</w:t>
      </w:r>
      <w:r>
        <w:t xml:space="preserve"> </w:t>
      </w:r>
      <w:r>
        <w:rPr>
          <w:i/>
        </w:rPr>
        <w:t xml:space="preserve">A. arabiensis</w:t>
      </w:r>
      <w:r>
        <w:t xml:space="preserve"> </w:t>
      </w:r>
      <w:r>
        <w:t xml:space="preserve">and</w:t>
      </w:r>
      <w:r>
        <w:t xml:space="preserve"> </w:t>
      </w:r>
      <w:r>
        <w:rPr>
          <w:i/>
        </w:rPr>
        <w:t xml:space="preserve">A. gambiae s.l.</w:t>
      </w:r>
      <w:r>
        <w:t xml:space="preserve">, we used publicly available data from the 16 genomes project (ref).</w:t>
      </w:r>
    </w:p>
    <w:p>
      <w:pPr>
        <w:pStyle w:val="BodyText"/>
      </w:pPr>
      <w:r>
        <w:t xml:space="preserve">Whole genome SNP calls called against the AgamP3 reference for 12</w:t>
      </w:r>
      <w:r>
        <w:t xml:space="preserve"> </w:t>
      </w:r>
      <w:r>
        <w:rPr>
          <w:i/>
        </w:rPr>
        <w:t xml:space="preserve">A. arabiensis</w:t>
      </w:r>
      <w:r>
        <w:t xml:space="preserve"> </w:t>
      </w:r>
      <w:r>
        <w:t xml:space="preserve">and 38</w:t>
      </w:r>
      <w:r>
        <w:t xml:space="preserve"> </w:t>
      </w:r>
      <w:r>
        <w:rPr>
          <w:i/>
        </w:rPr>
        <w:t xml:space="preserve">A. gambiae s.l</w:t>
      </w:r>
      <w:r>
        <w:t xml:space="preserve"> </w:t>
      </w:r>
      <w:r>
        <w:t xml:space="preserve">individuals were available.</w:t>
      </w:r>
    </w:p>
    <w:p>
      <w:pPr>
        <w:pStyle w:val="BodyText"/>
      </w:pPr>
      <w:r>
        <w:t xml:space="preserve">Alleles were mapped onto the same alternate allele space, the frequencies of which were computed across both groups.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The full AIM set of positions and alleles are available as part of the phase 3 data release.</w:t>
      </w:r>
    </w:p>
    <w:p>
      <w:pPr>
        <w:pStyle w:val="BodyText"/>
      </w:pPr>
      <w:r>
        <w:t xml:space="preserve">Called genotypes for each individual in the dataset were cross referenced against a random subset of 50,000 ancestry informative marker alleles, genotype alleles were accordingly classified as gambiae-like or arabiensis-like.</w:t>
      </w:r>
    </w:p>
    <w:p>
      <w:pPr>
        <w:pStyle w:val="BodyText"/>
      </w:pPr>
      <w:r>
        <w:t xml:space="preserve">AIM fractions were cross referenced against PCR results available from a subset of inviduals.</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w:t>
      </w:r>
    </w:p>
    <w:p>
      <w:pPr>
        <w:pStyle w:val="BodyText"/>
      </w:pPr>
      <w:r>
        <w:t xml:space="preserve">Therefore, classification requirements are less rigourous than other sets of validated markers; individuals were classed as</w:t>
      </w:r>
      <w:r>
        <w:t xml:space="preserve"> </w:t>
      </w:r>
      <w:r>
        <w:rPr>
          <w:i/>
        </w:rPr>
        <w:t xml:space="preserve">A. arabiensis</w:t>
      </w:r>
      <w:r>
        <w:t xml:space="preserve"> </w:t>
      </w:r>
      <w:r>
        <w:t xml:space="preserve">where a fraction &gt;0.6 of alleles were arabiensis-like (n=368), and as</w:t>
      </w:r>
      <w:r>
        <w:t xml:space="preserve"> </w:t>
      </w:r>
      <w:r>
        <w:rPr>
          <w:i/>
        </w:rPr>
        <w:t xml:space="preserve">A. gambiae s.l</w:t>
      </w:r>
      <w:r>
        <w:t xml:space="preserve"> </w:t>
      </w:r>
      <w:r>
        <w:t xml:space="preserve">where this value was &lt; 0.03 (n=2415).</w:t>
      </w:r>
    </w:p>
    <w:p>
      <w:pPr>
        <w:pStyle w:val="BodyText"/>
      </w:pPr>
      <w:r>
        <w:t xml:space="preserve">Species were not assigned to samples from the AG1000G-X submission due to inbreeding and high levels of genetic drift.</w:t>
      </w:r>
    </w:p>
    <w:p>
      <w:pPr>
        <w:pStyle w:val="BodyText"/>
      </w:pPr>
      <w:r>
        <w:t xml:space="preserve">A single individual collected in Tororo, Uganda is classed as intermediate- given the majority (XX%) of sites in the genome are heterozygous between the gambiae and arabiensis allele, this individual is likely to be an F1 hybrid.</w:t>
      </w:r>
    </w:p>
    <w:p>
      <w:pPr>
        <w:pStyle w:val="BodyText"/>
      </w:pPr>
      <w:r>
        <w:t xml:space="preserve">To resove the</w:t>
      </w:r>
      <w:r>
        <w:t xml:space="preserve"> </w:t>
      </w:r>
      <w:r>
        <w:rPr>
          <w:i/>
        </w:rPr>
        <w:t xml:space="preserve">A. gambiae s.l</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the 729 AIMs previously identified by Neafsey et al (ref).</w:t>
      </w:r>
    </w:p>
    <w:p>
      <w:pPr>
        <w:pStyle w:val="BodyText"/>
      </w:pPr>
      <w:r>
        <w:t xml:space="preserve">?? Need to find code that creates gambiae from neafsey set</w:t>
      </w:r>
    </w:p>
    <w:p>
      <w:pPr>
        <w:pStyle w:val="BodyText"/>
      </w:pPr>
      <w:r>
        <w:t xml:space="preserve">Cutoffs were made at &lt;0.12 (gambiae) and &gt;0.9 (coluzzii), with individuals between classed as intermediate.</w:t>
      </w:r>
    </w:p>
    <w:p>
      <w:pPr>
        <w:pStyle w:val="BodyText"/>
      </w:pPr>
      <w:r>
        <w:t xml:space="preserve">Of the 2415</w:t>
      </w:r>
      <w:r>
        <w:t xml:space="preserve"> </w:t>
      </w:r>
      <w:r>
        <w:rPr>
          <w:i/>
        </w:rPr>
        <w:t xml:space="preserve">s.l</w:t>
      </w:r>
      <w:r>
        <w:t xml:space="preserve"> </w:t>
      </w:r>
      <w:r>
        <w:t xml:space="preserve">individuals, 1571 were called as gambiae, 675 as coluzzii and 169 as intermediate (ref collection map).</w:t>
      </w:r>
    </w:p>
    <w:p>
      <w:pPr>
        <w:pStyle w:val="Heading3"/>
      </w:pPr>
      <w:bookmarkStart w:id="43" w:name="snp-filtering-and-quality-1"/>
      <w:r>
        <w:t xml:space="preserve">SNP filtering and quality</w:t>
      </w:r>
      <w:bookmarkEnd w:id="43"/>
    </w:p>
    <w:p>
      <w:pPr>
        <w:pStyle w:val="FirstParagraph"/>
      </w:pPr>
      <w:r>
        <w:t xml:space="preserve">Site filtering ensures that reported variation is of high quality.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using a decision tree model,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Inputs to the decision tree model are summary statistics from the set of SNP calls and genotype alignments.</w:t>
      </w:r>
    </w:p>
    <w:p>
      <w:pPr>
        <w:pStyle w:val="BodyText"/>
      </w:pPr>
      <w:r>
        <w:t xml:space="preserve">The</w:t>
      </w:r>
      <w:r>
        <w:t xml:space="preserve"> </w:t>
      </w:r>
      <w:r>
        <w:rPr>
          <w:rStyle w:val="VerbatimChar"/>
        </w:rPr>
        <w:t xml:space="preserve">arab</w:t>
      </w:r>
      <w:r>
        <w:t xml:space="preserve"> </w:t>
      </w:r>
      <w:r>
        <w:t xml:space="preserve">site filters were generated following application of the resulting model to the summary statistics from arabiensis samples in the cohort,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Where previously we have used manually curated cutoffs based on observed mendelian error rates to filter sites (ref phase1, phase2), here we built a statistical model where cohort level summary statistics were used to predict the presence or absence of mendelian error, becoming a binary classification problem.</w:t>
      </w:r>
    </w:p>
    <w:p>
      <w:pPr>
        <w:pStyle w:val="BodyText"/>
      </w:pPr>
      <w:r>
        <w:t xml:space="preserve">Summary statistics used as input to the model are presented in table (ref).</w:t>
      </w:r>
    </w:p>
    <w:p>
      <w:pPr>
        <w:pStyle w:val="BodyText"/>
      </w:pPr>
      <w:r>
        <w:t xml:space="preserve">Pedigrees included</w:t>
      </w:r>
      <w:r>
        <w:t xml:space="preserve"> </w:t>
      </w:r>
      <w:r>
        <w:rPr>
          <w:i/>
        </w:rPr>
        <w:t xml:space="preserve">A. gambiae</w:t>
      </w:r>
      <w:r>
        <w:t xml:space="preserve"> </w:t>
      </w:r>
      <w:r>
        <w:t xml:space="preserve">and</w:t>
      </w:r>
      <w:r>
        <w:t xml:space="preserve"> </w:t>
      </w:r>
      <w:r>
        <w:rPr>
          <w:i/>
        </w:rPr>
        <w:t xml:space="preserve">A. coluzzii</w:t>
      </w:r>
      <w:r>
        <w:t xml:space="preserve"> </w:t>
      </w:r>
      <w:r>
        <w:t xml:space="preserve">mosquitoes only, and summary statistics to build the initial site filters model came from females of these species (n=2415).</w:t>
      </w:r>
    </w:p>
    <w:p>
      <w:pPr>
        <w:pStyle w:val="BodyText"/>
      </w:pPr>
      <w:r>
        <w:t xml:space="preserve">Males were excluded, so that the model could also be applied without modification to the X chromosome.</w:t>
      </w:r>
    </w:p>
    <w:p>
      <w:pPr>
        <w:pStyle w:val="BodyText"/>
      </w:pPr>
      <w:r>
        <w:t xml:space="preserve">5 of the 15 crosses were held out for validation, so performance could be evaluated objectively.</w:t>
      </w:r>
    </w:p>
    <w:p>
      <w:pPr>
        <w:pStyle w:val="BodyText"/>
      </w:pPr>
      <w:r>
        <w:t xml:space="preserve">Sites were defined as PASS where all genotypes across all 10 remaining crosses were called, and no mendelian inconsistencies were observed.</w:t>
      </w:r>
    </w:p>
    <w:p>
      <w:pPr>
        <w:pStyle w:val="BodyText"/>
      </w:pPr>
      <w:r>
        <w:t xml:space="preserve">Sites were defined as FAIL where a mendelian inconsistency was observed in any pedigree.</w:t>
      </w:r>
    </w:p>
    <w:p>
      <w:pPr>
        <w:pStyle w:val="BodyText"/>
      </w:pPr>
      <w:r>
        <w:t xml:space="preserve">All other sites were not considered eligible for inclusion in model training.</w:t>
      </w:r>
    </w:p>
    <w:p>
      <w:pPr>
        <w:pStyle w:val="BodyText"/>
      </w:pPr>
      <w:r>
        <w:t xml:space="preserve">A balanced training set was generated from the remaining 10 crosses containing XXX autosomal(?) sites.</w:t>
      </w:r>
    </w:p>
    <w:p>
      <w:pPr>
        <w:pStyle w:val="BodyText"/>
      </w:pPr>
      <w:r>
        <w:t xml:space="preserve">We applied a decision tree, as it provides decisions with clear explanations, and is similar in concept to the set of hard thresholds commonly used in SNP calling in non-model organisms.</w:t>
      </w:r>
    </w:p>
    <w:p>
      <w:pPr>
        <w:pStyle w:val="BodyText"/>
      </w:pPr>
      <w:r>
        <w:t xml:space="preserve">A set of trees with different parameter settings were learned, exploring the depth of trees and the number of samples allowed at a terminal node.</w:t>
      </w:r>
    </w:p>
    <w:p>
      <w:pPr>
        <w:pStyle w:val="BodyText"/>
      </w:pPr>
      <w:r>
        <w:t xml:space="preserve">Parameter settings were evaluated on an unbalanced evaluation set, consisting of XXX sites randomly from sampled from the whole genome.</w:t>
      </w:r>
    </w:p>
    <w:p>
      <w:pPr>
        <w:pStyle w:val="BodyText"/>
      </w:pPr>
      <w:r>
        <w:t xml:space="preserve">Leaves of the trained models contain different proportions of PASS sites, by increasing the cutoff for these proportions required to label a leaf as PASS, we were able to compute the area under the receiver operating curve (AUROC) for each parameter set.</w:t>
      </w:r>
    </w:p>
    <w:p>
      <w:pPr>
        <w:pStyle w:val="BodyText"/>
      </w:pPr>
      <w:r>
        <w:t xml:space="preserve">The best performing parameter set based on AUROC was selected as the final model, the classification cutoff used was optimised based on the Youden statistic.</w:t>
      </w:r>
    </w:p>
    <w:p>
      <w:pPr>
        <w:pStyle w:val="BodyText"/>
      </w:pPr>
      <w:r>
        <w:t xml:space="preserve">The resulting model was a decision tree of depth 8, with a maximum of XX (CHECK NUMBERS) terminal nodes, where leaves were assigned to PASS where &gt; 0.533 of training data in that leaf were PASS.</w:t>
      </w:r>
    </w:p>
    <w:p>
      <w:pPr>
        <w:pStyle w:val="BodyText"/>
      </w:pPr>
      <w:r>
        <w:t xml:space="preserve">All sites in the genome were then assigned to PASS or FAIL given the model inputs.</w:t>
      </w:r>
    </w:p>
    <w:p>
      <w:pPr>
        <w:pStyle w:val="BodyText"/>
      </w:pPr>
      <w:r>
        <w:t xml:space="preserve">The 5 remaining cross pedigrees were used to perform a final evaluation of the approach.</w:t>
      </w:r>
    </w:p>
    <w:p>
      <w:pPr>
        <w:pStyle w:val="BodyText"/>
      </w:pPr>
      <w:r>
        <w:t xml:space="preserve">Above definitions of PASS sites were retained, but independently within pedigrees, providing 5 distinct evaluation sets.</w:t>
      </w:r>
    </w:p>
    <w:p>
      <w:pPr>
        <w:pStyle w:val="BodyText"/>
      </w:pPr>
      <w:r>
        <w:t xml:space="preserve">To evaluate performance on the hemizygous X chromosome we use the more direct measure of heterozygote calls in males.</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Male error rates were estimated from genotype calls with a minimum Genotype Quality (GQ) value of 30.</w:t>
      </w:r>
    </w:p>
    <w:p>
      <w:pPr>
        <w:pStyle w:val="BodyText"/>
      </w:pPr>
      <w:r>
        <w:t xml:space="preserve">A non heterozygote call is labelled PASS, and a heterozygote call FAIL.</w:t>
      </w:r>
    </w:p>
    <w:p>
      <w:pPr>
        <w:pStyle w:val="BodyText"/>
      </w:pPr>
      <w:r>
        <w:t xml:space="preserve">Error rates were computed for all crosses, over all chromosomes before and after application of site filters.</w:t>
      </w:r>
    </w:p>
    <w:p>
      <w:pPr>
        <w:pStyle w:val="BodyText"/>
      </w:pPr>
      <w:r>
        <w:t xml:space="preserve">We report the false positive rate (FPR), (i.e proportion of the genome considered accessible), and the Youden statistic (ratio of sensitivity to specificity).</w:t>
      </w:r>
    </w:p>
    <w:p>
      <w:pPr>
        <w:pStyle w:val="Heading2"/>
      </w:pPr>
      <w:bookmarkStart w:id="44" w:name="references"/>
      <w:r>
        <w:t xml:space="preserve">References</w:t>
      </w:r>
      <w:bookmarkEnd w:id="44"/>
    </w:p>
    <w:bookmarkStart w:id="155" w:name="refs"/>
    <w:bookmarkStart w:id="49" w:name="ref-70em6Bgx"/>
    <w:p>
      <w:pPr>
        <w:pStyle w:val="Bibliography"/>
      </w:pPr>
      <w:r>
        <w:t xml:space="preserve">1.</w:t>
      </w:r>
      <w:r>
        <w:rPr>
          <w:b/>
        </w:rPr>
        <w:t xml:space="preserve">:{unav)</w:t>
      </w:r>
      <w:r>
        <w:t xml:space="preserve"> </w:t>
      </w:r>
      <w:r>
        <w:br/>
      </w:r>
      <w:r>
        <w:t xml:space="preserve">Elien E Wilkins, Paul I Howell, Mark Q Benedict</w:t>
      </w:r>
      <w:r>
        <w:br/>
      </w:r>
      <w:r>
        <w:rPr>
          <w:i/>
        </w:rPr>
        <w:t xml:space="preserve">Malaria Journal</w:t>
      </w:r>
      <w:r>
        <w:t xml:space="preserve"> </w:t>
      </w:r>
      <w:r>
        <w:t xml:space="preserve">(2006)</w:t>
      </w:r>
      <w:r>
        <w:t xml:space="preserve"> </w:t>
      </w:r>
      <w:hyperlink r:id="rId45">
        <w:r>
          <w:rPr>
            <w:rStyle w:val="Hyperlink"/>
          </w:rPr>
          <w:t xml:space="preserve">https://doi.org/dbtfkr</w:t>
        </w:r>
      </w:hyperlink>
      <w:r>
        <w:t xml:space="preserve"> </w:t>
      </w:r>
      <w:r>
        <w:br/>
      </w:r>
      <w:r>
        <w:t xml:space="preserve">DOI:</w:t>
      </w:r>
      <w:r>
        <w:t xml:space="preserve"> </w:t>
      </w:r>
      <w:hyperlink r:id="rId46">
        <w:r>
          <w:rPr>
            <w:rStyle w:val="Hyperlink"/>
          </w:rPr>
          <w:t xml:space="preserve">10.1186/1475-2875-5-125</w:t>
        </w:r>
      </w:hyperlink>
      <w:r>
        <w:t xml:space="preserve"> </w:t>
      </w:r>
      <w:r>
        <w:t xml:space="preserve">· PMID:</w:t>
      </w:r>
      <w:r>
        <w:t xml:space="preserve"> </w:t>
      </w:r>
      <w:hyperlink r:id="rId47">
        <w:r>
          <w:rPr>
            <w:rStyle w:val="Hyperlink"/>
          </w:rPr>
          <w:t xml:space="preserve">17177993</w:t>
        </w:r>
      </w:hyperlink>
      <w:r>
        <w:t xml:space="preserve"> </w:t>
      </w:r>
      <w:r>
        <w:t xml:space="preserve">· PMCID:</w:t>
      </w:r>
      <w:r>
        <w:t xml:space="preserve"> </w:t>
      </w:r>
      <w:hyperlink r:id="rId48">
        <w:r>
          <w:rPr>
            <w:rStyle w:val="Hyperlink"/>
          </w:rPr>
          <w:t xml:space="preserve">PMC1769388</w:t>
        </w:r>
      </w:hyperlink>
    </w:p>
    <w:bookmarkEnd w:id="49"/>
    <w:bookmarkStart w:id="53" w:name="ref-1G04AzsFo"/>
    <w:p>
      <w:pPr>
        <w:pStyle w:val="Bibliography"/>
      </w:pPr>
      <w:r>
        <w:t xml:space="preserve">2.</w:t>
      </w:r>
      <w:r>
        <w:t xml:space="preserve"> </w:t>
      </w:r>
      <w:r>
        <w:rPr>
          <w:b/>
        </w:rPr>
        <w:t xml:space="preserve">Simultaneous identification of species and molecular forms of the Anopheles gambiae 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50">
        <w:r>
          <w:rPr>
            <w:rStyle w:val="Hyperlink"/>
          </w:rPr>
          <w:t xml:space="preserve">https://doi.org/ds5pmz</w:t>
        </w:r>
      </w:hyperlink>
      <w:r>
        <w:t xml:space="preserve"> </w:t>
      </w:r>
      <w:r>
        <w:br/>
      </w:r>
      <w:r>
        <w:t xml:space="preserve">DOI:</w:t>
      </w:r>
      <w:r>
        <w:t xml:space="preserve"> </w:t>
      </w:r>
      <w:hyperlink r:id="rId51">
        <w:r>
          <w:rPr>
            <w:rStyle w:val="Hyperlink"/>
          </w:rPr>
          <w:t xml:space="preserve">10.1046/j.1365-2915.2002.00393.x</w:t>
        </w:r>
      </w:hyperlink>
      <w:r>
        <w:t xml:space="preserve"> </w:t>
      </w:r>
      <w:r>
        <w:t xml:space="preserve">· PMID:</w:t>
      </w:r>
      <w:r>
        <w:t xml:space="preserve"> </w:t>
      </w:r>
      <w:hyperlink r:id="rId52">
        <w:r>
          <w:rPr>
            <w:rStyle w:val="Hyperlink"/>
          </w:rPr>
          <w:t xml:space="preserve">12510902</w:t>
        </w:r>
      </w:hyperlink>
    </w:p>
    <w:bookmarkEnd w:id="53"/>
    <w:bookmarkStart w:id="56" w:name="ref-Z00Fb5xf"/>
    <w:p>
      <w:pPr>
        <w:pStyle w:val="Bibliography"/>
      </w:pPr>
      <w:r>
        <w:t xml:space="preserve">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ALESSANDRA DELLA TORRE, ADALGISA CACCONE, FEDERICA SANTOLAMAZZA</w:t>
      </w:r>
      <w:r>
        <w:br/>
      </w:r>
      <w:r>
        <w:rPr>
          <w:i/>
        </w:rPr>
        <w:t xml:space="preserve">The American Journal of Tropical Medicine and Hygiene</w:t>
      </w:r>
      <w:r>
        <w:t xml:space="preserve"> </w:t>
      </w:r>
      <w:r>
        <w:t xml:space="preserve">(2004-06-01)</w:t>
      </w:r>
      <w:r>
        <w:t xml:space="preserve"> </w:t>
      </w:r>
      <w:hyperlink r:id="rId54">
        <w:r>
          <w:rPr>
            <w:rStyle w:val="Hyperlink"/>
          </w:rPr>
          <w:t xml:space="preserve">https://doi.org/ghcqgn</w:t>
        </w:r>
      </w:hyperlink>
      <w:r>
        <w:t xml:space="preserve"> </w:t>
      </w:r>
      <w:r>
        <w:br/>
      </w:r>
      <w:r>
        <w:t xml:space="preserve">DOI:</w:t>
      </w:r>
      <w:r>
        <w:t xml:space="preserve"> </w:t>
      </w:r>
      <w:hyperlink r:id="rId55">
        <w:r>
          <w:rPr>
            <w:rStyle w:val="Hyperlink"/>
          </w:rPr>
          <w:t xml:space="preserve">10.4269/ajtmh.2004.70.604</w:t>
        </w:r>
      </w:hyperlink>
    </w:p>
    <w:bookmarkEnd w:id="56"/>
    <w:bookmarkStart w:id="61" w:name="ref-daG5Pj6c"/>
    <w:p>
      <w:pPr>
        <w:pStyle w:val="Bibliography"/>
      </w:pPr>
      <w:r>
        <w:t xml:space="preserve">4.</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57">
        <w:r>
          <w:rPr>
            <w:rStyle w:val="Hyperlink"/>
          </w:rPr>
          <w:t xml:space="preserve">https://doi.org/bd8bz5</w:t>
        </w:r>
      </w:hyperlink>
      <w:r>
        <w:t xml:space="preserve"> </w:t>
      </w:r>
      <w:r>
        <w:br/>
      </w:r>
      <w:r>
        <w:t xml:space="preserve">DOI:</w:t>
      </w:r>
      <w:r>
        <w:t xml:space="preserve"> </w:t>
      </w:r>
      <w:hyperlink r:id="rId58">
        <w:r>
          <w:rPr>
            <w:rStyle w:val="Hyperlink"/>
          </w:rPr>
          <w:t xml:space="preserve">10.1186/1472-6785-9-17</w:t>
        </w:r>
      </w:hyperlink>
      <w:r>
        <w:t xml:space="preserve"> </w:t>
      </w:r>
      <w:r>
        <w:t xml:space="preserve">· PMID:</w:t>
      </w:r>
      <w:r>
        <w:t xml:space="preserve"> </w:t>
      </w:r>
      <w:hyperlink r:id="rId59">
        <w:r>
          <w:rPr>
            <w:rStyle w:val="Hyperlink"/>
          </w:rPr>
          <w:t xml:space="preserve">19460146</w:t>
        </w:r>
      </w:hyperlink>
      <w:r>
        <w:t xml:space="preserve"> </w:t>
      </w:r>
      <w:r>
        <w:t xml:space="preserve">· PMCID:</w:t>
      </w:r>
      <w:r>
        <w:t xml:space="preserve"> </w:t>
      </w:r>
      <w:hyperlink r:id="rId60">
        <w:r>
          <w:rPr>
            <w:rStyle w:val="Hyperlink"/>
          </w:rPr>
          <w:t xml:space="preserve">PMC2698860</w:t>
        </w:r>
      </w:hyperlink>
    </w:p>
    <w:bookmarkEnd w:id="61"/>
    <w:bookmarkStart w:id="63" w:name="ref-14XMzb1n7"/>
    <w:p>
      <w:pPr>
        <w:pStyle w:val="Bibliography"/>
      </w:pPr>
      <w:r>
        <w:t xml:space="preserve">5.</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62">
        <w:r>
          <w:rPr>
            <w:rStyle w:val="Hyperlink"/>
          </w:rPr>
          <w:t xml:space="preserve">9780620103213</w:t>
        </w:r>
      </w:hyperlink>
    </w:p>
    <w:bookmarkEnd w:id="63"/>
    <w:bookmarkStart w:id="66" w:name="ref-ISDKf1P8"/>
    <w:p>
      <w:pPr>
        <w:pStyle w:val="Bibliography"/>
      </w:pPr>
      <w:r>
        <w:t xml:space="preserve">6.</w:t>
      </w:r>
      <w:r>
        <w:t xml:space="preserve"> </w:t>
      </w:r>
      <w:r>
        <w:rPr>
          <w:b/>
        </w:rPr>
        <w:t xml:space="preserve">MOLECULAR KARYOTYPING OF THE 2LA INVERSION IN ANOPHELES GAMBIAE</w:t>
      </w:r>
      <w:r>
        <w:t xml:space="preserve"> </w:t>
      </w:r>
      <w:r>
        <w:br/>
      </w:r>
      <w:r>
        <w:t xml:space="preserve">NORA J. BESANSKY, OLGA GRUSHKO, ALESSANDRA DELLA TORRE, IGOR SHARAKHOV, CECILE BRENGUES, JONATHAN K. KAYONDO, FEDERICA SANTOLAMAZZA, FREDERIC SIMARD, MARCO POMBI, MAMADOU COULIBALY, … KARINE MOULINE</w:t>
      </w:r>
      <w:r>
        <w:br/>
      </w:r>
      <w:r>
        <w:rPr>
          <w:i/>
        </w:rPr>
        <w:t xml:space="preserve">The American Journal of Tropical Medicine and Hygiene</w:t>
      </w:r>
      <w:r>
        <w:t xml:space="preserve"> </w:t>
      </w:r>
      <w:r>
        <w:t xml:space="preserve">(2007-02-01)</w:t>
      </w:r>
      <w:r>
        <w:t xml:space="preserve"> </w:t>
      </w:r>
      <w:hyperlink r:id="rId64">
        <w:r>
          <w:rPr>
            <w:rStyle w:val="Hyperlink"/>
          </w:rPr>
          <w:t xml:space="preserve">https://doi.org/ghcqgq</w:t>
        </w:r>
      </w:hyperlink>
      <w:r>
        <w:t xml:space="preserve"> </w:t>
      </w:r>
      <w:r>
        <w:br/>
      </w:r>
      <w:r>
        <w:t xml:space="preserve">DOI:</w:t>
      </w:r>
      <w:r>
        <w:t xml:space="preserve"> </w:t>
      </w:r>
      <w:hyperlink r:id="rId65">
        <w:r>
          <w:rPr>
            <w:rStyle w:val="Hyperlink"/>
          </w:rPr>
          <w:t xml:space="preserve">10.4269/ajtmh.2007.76.334</w:t>
        </w:r>
      </w:hyperlink>
    </w:p>
    <w:bookmarkEnd w:id="66"/>
    <w:bookmarkStart w:id="71" w:name="ref-19Z5CFAYk"/>
    <w:p>
      <w:pPr>
        <w:pStyle w:val="Bibliography"/>
      </w:pPr>
      <w:r>
        <w:t xml:space="preserve">7.</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67">
        <w:r>
          <w:rPr>
            <w:rStyle w:val="Hyperlink"/>
          </w:rPr>
          <w:t xml:space="preserve">https://doi.org/b5hmbh</w:t>
        </w:r>
      </w:hyperlink>
      <w:r>
        <w:t xml:space="preserve"> </w:t>
      </w:r>
      <w:r>
        <w:br/>
      </w:r>
      <w:r>
        <w:t xml:space="preserve">DOI:</w:t>
      </w:r>
      <w:r>
        <w:t xml:space="preserve"> </w:t>
      </w:r>
      <w:hyperlink r:id="rId68">
        <w:r>
          <w:rPr>
            <w:rStyle w:val="Hyperlink"/>
          </w:rPr>
          <w:t xml:space="preserve">10.1101/gr.093443.109</w:t>
        </w:r>
      </w:hyperlink>
      <w:r>
        <w:t xml:space="preserve"> </w:t>
      </w:r>
      <w:r>
        <w:t xml:space="preserve">· PMID:</w:t>
      </w:r>
      <w:r>
        <w:t xml:space="preserve"> </w:t>
      </w:r>
      <w:hyperlink r:id="rId69">
        <w:r>
          <w:rPr>
            <w:rStyle w:val="Hyperlink"/>
          </w:rPr>
          <w:t xml:space="preserve">19679872</w:t>
        </w:r>
      </w:hyperlink>
      <w:r>
        <w:t xml:space="preserve"> </w:t>
      </w:r>
      <w:r>
        <w:t xml:space="preserve">· PMCID:</w:t>
      </w:r>
      <w:r>
        <w:t xml:space="preserve"> </w:t>
      </w:r>
      <w:hyperlink r:id="rId70">
        <w:r>
          <w:rPr>
            <w:rStyle w:val="Hyperlink"/>
          </w:rPr>
          <w:t xml:space="preserve">PMC2775587</w:t>
        </w:r>
      </w:hyperlink>
    </w:p>
    <w:bookmarkEnd w:id="71"/>
    <w:bookmarkStart w:id="74" w:name="ref-XUSF8pjQ"/>
    <w:p>
      <w:pPr>
        <w:pStyle w:val="Bibliography"/>
      </w:pPr>
      <w:r>
        <w:t xml:space="preserve">8.</w:t>
      </w:r>
      <w:r>
        <w:t xml:space="preserve"> </w:t>
      </w:r>
      <w:r>
        <w:rPr>
          <w:b/>
        </w:rPr>
        <w:t xml:space="preserve">POPULATION STRUCTURE OF ANOPHELES ARABIENSIS ON LA RÉUNION ISLAND, INDIAN OCEAN</w:t>
      </w:r>
      <w:r>
        <w:t xml:space="preserve"> </w:t>
      </w:r>
      <w:r>
        <w:br/>
      </w:r>
      <w:r>
        <w:t xml:space="preserve">FRÉDÉRIC SIMARD, RICHARD HUNT, DIDIER FONTENILLE, ISABELLE MORLAIS, ROMAIN GIROD</w:t>
      </w:r>
      <w:r>
        <w:br/>
      </w:r>
      <w:r>
        <w:rPr>
          <w:i/>
        </w:rPr>
        <w:t xml:space="preserve">The American Journal of Tropical Medicine and Hygiene</w:t>
      </w:r>
      <w:r>
        <w:t xml:space="preserve"> </w:t>
      </w:r>
      <w:r>
        <w:t xml:space="preserve">(2005-12-01)</w:t>
      </w:r>
      <w:r>
        <w:t xml:space="preserve"> </w:t>
      </w:r>
      <w:hyperlink r:id="rId72">
        <w:r>
          <w:rPr>
            <w:rStyle w:val="Hyperlink"/>
          </w:rPr>
          <w:t xml:space="preserve">https://doi.org/ghcqgp</w:t>
        </w:r>
      </w:hyperlink>
      <w:r>
        <w:t xml:space="preserve"> </w:t>
      </w:r>
      <w:r>
        <w:br/>
      </w:r>
      <w:r>
        <w:t xml:space="preserve">DOI:</w:t>
      </w:r>
      <w:r>
        <w:t xml:space="preserve"> </w:t>
      </w:r>
      <w:hyperlink r:id="rId73">
        <w:r>
          <w:rPr>
            <w:rStyle w:val="Hyperlink"/>
          </w:rPr>
          <w:t xml:space="preserve">10.4269/ajtmh.2005.73.1077</w:t>
        </w:r>
      </w:hyperlink>
    </w:p>
    <w:bookmarkEnd w:id="74"/>
    <w:bookmarkStart w:id="79" w:name="ref-1EjgFGIf9"/>
    <w:p>
      <w:pPr>
        <w:pStyle w:val="Bibliography"/>
      </w:pPr>
      <w:r>
        <w:t xml:space="preserve">9.</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75">
        <w:r>
          <w:rPr>
            <w:rStyle w:val="Hyperlink"/>
          </w:rPr>
          <w:t xml:space="preserve">https://doi.org/b97c6c</w:t>
        </w:r>
      </w:hyperlink>
      <w:r>
        <w:t xml:space="preserve"> </w:t>
      </w:r>
      <w:r>
        <w:br/>
      </w:r>
      <w:r>
        <w:t xml:space="preserve">DOI:</w:t>
      </w:r>
      <w:r>
        <w:t xml:space="preserve"> </w:t>
      </w:r>
      <w:hyperlink r:id="rId76">
        <w:r>
          <w:rPr>
            <w:rStyle w:val="Hyperlink"/>
          </w:rPr>
          <w:t xml:space="preserve">10.1186/1475-2875-7-182</w:t>
        </w:r>
      </w:hyperlink>
      <w:r>
        <w:t xml:space="preserve"> </w:t>
      </w:r>
      <w:r>
        <w:t xml:space="preserve">· PMID:</w:t>
      </w:r>
      <w:r>
        <w:t xml:space="preserve"> </w:t>
      </w:r>
      <w:hyperlink r:id="rId77">
        <w:r>
          <w:rPr>
            <w:rStyle w:val="Hyperlink"/>
          </w:rPr>
          <w:t xml:space="preserve">18803885</w:t>
        </w:r>
      </w:hyperlink>
      <w:r>
        <w:t xml:space="preserve"> </w:t>
      </w:r>
      <w:r>
        <w:t xml:space="preserve">· PMCID:</w:t>
      </w:r>
      <w:r>
        <w:t xml:space="preserve"> </w:t>
      </w:r>
      <w:hyperlink r:id="rId78">
        <w:r>
          <w:rPr>
            <w:rStyle w:val="Hyperlink"/>
          </w:rPr>
          <w:t xml:space="preserve">PMC2569043</w:t>
        </w:r>
      </w:hyperlink>
    </w:p>
    <w:bookmarkEnd w:id="79"/>
    <w:bookmarkStart w:id="81" w:name="ref-Z6MC0qXg"/>
    <w:p>
      <w:pPr>
        <w:pStyle w:val="Bibliography"/>
      </w:pPr>
      <w:r>
        <w:t xml:space="preserve">10.</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80">
        <w:r>
          <w:rPr>
            <w:rStyle w:val="Hyperlink"/>
          </w:rPr>
          <w:t xml:space="preserve">https://www.ncbi.nlm.nih.gov/pubmed/10645562</w:t>
        </w:r>
      </w:hyperlink>
      <w:r>
        <w:t xml:space="preserve"> </w:t>
      </w:r>
      <w:r>
        <w:br/>
      </w:r>
      <w:r>
        <w:t xml:space="preserve">PMID:</w:t>
      </w:r>
      <w:r>
        <w:t xml:space="preserve"> </w:t>
      </w:r>
      <w:hyperlink r:id="rId80">
        <w:r>
          <w:rPr>
            <w:rStyle w:val="Hyperlink"/>
          </w:rPr>
          <w:t xml:space="preserve">10645562</w:t>
        </w:r>
      </w:hyperlink>
    </w:p>
    <w:bookmarkEnd w:id="81"/>
    <w:bookmarkStart w:id="86" w:name="ref-Px2G7gld"/>
    <w:p>
      <w:pPr>
        <w:pStyle w:val="Bibliography"/>
      </w:pPr>
      <w:r>
        <w:t xml:space="preserve">11.</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82">
        <w:r>
          <w:rPr>
            <w:rStyle w:val="Hyperlink"/>
          </w:rPr>
          <w:t xml:space="preserve">https://doi.org/ghcqgh</w:t>
        </w:r>
      </w:hyperlink>
      <w:r>
        <w:t xml:space="preserve"> </w:t>
      </w:r>
      <w:r>
        <w:br/>
      </w:r>
      <w:r>
        <w:t xml:space="preserve">DOI:</w:t>
      </w:r>
      <w:r>
        <w:t xml:space="preserve"> </w:t>
      </w:r>
      <w:hyperlink r:id="rId83">
        <w:r>
          <w:rPr>
            <w:rStyle w:val="Hyperlink"/>
          </w:rPr>
          <w:t xml:space="preserve">10.1186/s12936-016-1203-z</w:t>
        </w:r>
      </w:hyperlink>
      <w:r>
        <w:t xml:space="preserve"> </w:t>
      </w:r>
      <w:r>
        <w:t xml:space="preserve">· PMID:</w:t>
      </w:r>
      <w:r>
        <w:t xml:space="preserve"> </w:t>
      </w:r>
      <w:hyperlink r:id="rId84">
        <w:r>
          <w:rPr>
            <w:rStyle w:val="Hyperlink"/>
          </w:rPr>
          <w:t xml:space="preserve">26980461</w:t>
        </w:r>
      </w:hyperlink>
      <w:r>
        <w:t xml:space="preserve"> </w:t>
      </w:r>
      <w:r>
        <w:t xml:space="preserve">· PMCID:</w:t>
      </w:r>
      <w:r>
        <w:t xml:space="preserve"> </w:t>
      </w:r>
      <w:hyperlink r:id="rId85">
        <w:r>
          <w:rPr>
            <w:rStyle w:val="Hyperlink"/>
          </w:rPr>
          <w:t xml:space="preserve">PMC4793517</w:t>
        </w:r>
      </w:hyperlink>
    </w:p>
    <w:bookmarkEnd w:id="86"/>
    <w:bookmarkStart w:id="91" w:name="ref-YX2M3jrq"/>
    <w:p>
      <w:pPr>
        <w:pStyle w:val="Bibliography"/>
      </w:pPr>
      <w:r>
        <w:t xml:space="preserve">12.</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87">
        <w:r>
          <w:rPr>
            <w:rStyle w:val="Hyperlink"/>
          </w:rPr>
          <w:t xml:space="preserve">https://doi.org/f93m36</w:t>
        </w:r>
      </w:hyperlink>
      <w:r>
        <w:t xml:space="preserve"> </w:t>
      </w:r>
      <w:r>
        <w:br/>
      </w:r>
      <w:r>
        <w:t xml:space="preserve">DOI:</w:t>
      </w:r>
      <w:r>
        <w:t xml:space="preserve"> </w:t>
      </w:r>
      <w:hyperlink r:id="rId88">
        <w:r>
          <w:rPr>
            <w:rStyle w:val="Hyperlink"/>
          </w:rPr>
          <w:t xml:space="preserve">10.1038/srep46451</w:t>
        </w:r>
      </w:hyperlink>
      <w:r>
        <w:t xml:space="preserve"> </w:t>
      </w:r>
      <w:r>
        <w:t xml:space="preserve">· PMID:</w:t>
      </w:r>
      <w:r>
        <w:t xml:space="preserve"> </w:t>
      </w:r>
      <w:hyperlink r:id="rId89">
        <w:r>
          <w:rPr>
            <w:rStyle w:val="Hyperlink"/>
          </w:rPr>
          <w:t xml:space="preserve">28417969</w:t>
        </w:r>
      </w:hyperlink>
      <w:r>
        <w:t xml:space="preserve"> </w:t>
      </w:r>
      <w:r>
        <w:t xml:space="preserve">· PMCID:</w:t>
      </w:r>
      <w:r>
        <w:t xml:space="preserve"> </w:t>
      </w:r>
      <w:hyperlink r:id="rId90">
        <w:r>
          <w:rPr>
            <w:rStyle w:val="Hyperlink"/>
          </w:rPr>
          <w:t xml:space="preserve">PMC5394460</w:t>
        </w:r>
      </w:hyperlink>
    </w:p>
    <w:bookmarkEnd w:id="91"/>
    <w:bookmarkStart w:id="94" w:name="ref-16as3jwaa"/>
    <w:p>
      <w:pPr>
        <w:pStyle w:val="Bibliography"/>
      </w:pPr>
      <w:r>
        <w:t xml:space="preserve">13.</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92">
        <w:r>
          <w:rPr>
            <w:rStyle w:val="Hyperlink"/>
          </w:rPr>
          <w:t xml:space="preserve">https://doi.org/ghcqgm</w:t>
        </w:r>
      </w:hyperlink>
      <w:r>
        <w:t xml:space="preserve"> </w:t>
      </w:r>
      <w:r>
        <w:br/>
      </w:r>
      <w:r>
        <w:t xml:space="preserve">DOI:</w:t>
      </w:r>
      <w:r>
        <w:t xml:space="preserve"> </w:t>
      </w:r>
      <w:hyperlink r:id="rId93">
        <w:r>
          <w:rPr>
            <w:rStyle w:val="Hyperlink"/>
          </w:rPr>
          <w:t xml:space="preserve">10.4269/ajtmh.2003.68.2.0680161</w:t>
        </w:r>
      </w:hyperlink>
    </w:p>
    <w:bookmarkEnd w:id="94"/>
    <w:bookmarkStart w:id="98" w:name="ref-DnnjILYG"/>
    <w:p>
      <w:pPr>
        <w:pStyle w:val="Bibliography"/>
      </w:pPr>
      <w:r>
        <w:t xml:space="preserve">14.</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95">
        <w:r>
          <w:rPr>
            <w:rStyle w:val="Hyperlink"/>
          </w:rPr>
          <w:t xml:space="preserve">https://doi.org/bg4xmm</w:t>
        </w:r>
      </w:hyperlink>
      <w:r>
        <w:t xml:space="preserve"> </w:t>
      </w:r>
      <w:r>
        <w:br/>
      </w:r>
      <w:r>
        <w:t xml:space="preserve">DOI:</w:t>
      </w:r>
      <w:r>
        <w:t xml:space="preserve"> </w:t>
      </w:r>
      <w:hyperlink r:id="rId96">
        <w:r>
          <w:rPr>
            <w:rStyle w:val="Hyperlink"/>
          </w:rPr>
          <w:t xml:space="preserve">10.1038/sj.hdy.6885930</w:t>
        </w:r>
      </w:hyperlink>
      <w:r>
        <w:t xml:space="preserve"> </w:t>
      </w:r>
      <w:r>
        <w:t xml:space="preserve">· PMID:</w:t>
      </w:r>
      <w:r>
        <w:t xml:space="preserve"> </w:t>
      </w:r>
      <w:hyperlink r:id="rId97">
        <w:r>
          <w:rPr>
            <w:rStyle w:val="Hyperlink"/>
          </w:rPr>
          <w:t xml:space="preserve">10583542</w:t>
        </w:r>
      </w:hyperlink>
    </w:p>
    <w:bookmarkEnd w:id="98"/>
    <w:bookmarkStart w:id="102" w:name="ref-14yZJJBPD"/>
    <w:p>
      <w:pPr>
        <w:pStyle w:val="Bibliography"/>
      </w:pPr>
      <w:r>
        <w:t xml:space="preserve">15.</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99">
        <w:r>
          <w:rPr>
            <w:rStyle w:val="Hyperlink"/>
          </w:rPr>
          <w:t xml:space="preserve">https://doi.org/ghcqgk</w:t>
        </w:r>
      </w:hyperlink>
      <w:r>
        <w:t xml:space="preserve"> </w:t>
      </w:r>
      <w:r>
        <w:br/>
      </w:r>
      <w:r>
        <w:t xml:space="preserve">DOI:</w:t>
      </w:r>
      <w:r>
        <w:t xml:space="preserve"> </w:t>
      </w:r>
      <w:hyperlink r:id="rId100">
        <w:r>
          <w:rPr>
            <w:rStyle w:val="Hyperlink"/>
          </w:rPr>
          <w:t xml:space="preserve">10.4269/ajtmh.1993.49.520</w:t>
        </w:r>
      </w:hyperlink>
      <w:r>
        <w:t xml:space="preserve"> </w:t>
      </w:r>
      <w:r>
        <w:t xml:space="preserve">· PMID:</w:t>
      </w:r>
      <w:r>
        <w:t xml:space="preserve"> </w:t>
      </w:r>
      <w:hyperlink r:id="rId101">
        <w:r>
          <w:rPr>
            <w:rStyle w:val="Hyperlink"/>
          </w:rPr>
          <w:t xml:space="preserve">8214283</w:t>
        </w:r>
      </w:hyperlink>
    </w:p>
    <w:bookmarkEnd w:id="102"/>
    <w:bookmarkStart w:id="107" w:name="ref-1C7qEzk6S"/>
    <w:p>
      <w:pPr>
        <w:pStyle w:val="Bibliography"/>
      </w:pPr>
      <w:r>
        <w:t xml:space="preserve">16.</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103">
        <w:r>
          <w:rPr>
            <w:rStyle w:val="Hyperlink"/>
          </w:rPr>
          <w:t xml:space="preserve">https://doi.org/ghcqgd</w:t>
        </w:r>
      </w:hyperlink>
      <w:r>
        <w:t xml:space="preserve"> </w:t>
      </w:r>
      <w:r>
        <w:br/>
      </w:r>
      <w:r>
        <w:t xml:space="preserve">DOI:</w:t>
      </w:r>
      <w:r>
        <w:t xml:space="preserve"> </w:t>
      </w:r>
      <w:hyperlink r:id="rId104">
        <w:r>
          <w:rPr>
            <w:rStyle w:val="Hyperlink"/>
          </w:rPr>
          <w:t xml:space="preserve">10.1038/ncomms1672</w:t>
        </w:r>
      </w:hyperlink>
      <w:r>
        <w:t xml:space="preserve"> </w:t>
      </w:r>
      <w:r>
        <w:t xml:space="preserve">· PMID:</w:t>
      </w:r>
      <w:r>
        <w:t xml:space="preserve"> </w:t>
      </w:r>
      <w:hyperlink r:id="rId105">
        <w:r>
          <w:rPr>
            <w:rStyle w:val="Hyperlink"/>
          </w:rPr>
          <w:t xml:space="preserve">22334077</w:t>
        </w:r>
      </w:hyperlink>
      <w:r>
        <w:t xml:space="preserve"> </w:t>
      </w:r>
      <w:r>
        <w:t xml:space="preserve">· PMCID:</w:t>
      </w:r>
      <w:r>
        <w:t xml:space="preserve"> </w:t>
      </w:r>
      <w:hyperlink r:id="rId106">
        <w:r>
          <w:rPr>
            <w:rStyle w:val="Hyperlink"/>
          </w:rPr>
          <w:t xml:space="preserve">PMC3292715</w:t>
        </w:r>
      </w:hyperlink>
    </w:p>
    <w:bookmarkEnd w:id="107"/>
    <w:bookmarkStart w:id="112" w:name="ref-xsFRxYp6"/>
    <w:p>
      <w:pPr>
        <w:pStyle w:val="Bibliography"/>
      </w:pPr>
      <w:r>
        <w:t xml:space="preserve">17.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108">
        <w:r>
          <w:rPr>
            <w:rStyle w:val="Hyperlink"/>
          </w:rPr>
          <w:t xml:space="preserve">https://doi.org/ggr5g7</w:t>
        </w:r>
      </w:hyperlink>
      <w:r>
        <w:t xml:space="preserve"> </w:t>
      </w:r>
      <w:r>
        <w:br/>
      </w:r>
      <w:r>
        <w:t xml:space="preserve">DOI:</w:t>
      </w:r>
      <w:r>
        <w:t xml:space="preserve"> </w:t>
      </w:r>
      <w:hyperlink r:id="rId109">
        <w:r>
          <w:rPr>
            <w:rStyle w:val="Hyperlink"/>
          </w:rPr>
          <w:t xml:space="preserve">10.1186/s12879-017-2749-2</w:t>
        </w:r>
      </w:hyperlink>
      <w:r>
        <w:t xml:space="preserve"> </w:t>
      </w:r>
      <w:r>
        <w:t xml:space="preserve">· PMID:</w:t>
      </w:r>
      <w:r>
        <w:t xml:space="preserve"> </w:t>
      </w:r>
      <w:hyperlink r:id="rId110">
        <w:r>
          <w:rPr>
            <w:rStyle w:val="Hyperlink"/>
          </w:rPr>
          <w:t xml:space="preserve">28938876</w:t>
        </w:r>
      </w:hyperlink>
      <w:r>
        <w:t xml:space="preserve"> </w:t>
      </w:r>
      <w:r>
        <w:t xml:space="preserve">· PMCID:</w:t>
      </w:r>
      <w:r>
        <w:t xml:space="preserve"> </w:t>
      </w:r>
      <w:hyperlink r:id="rId111">
        <w:r>
          <w:rPr>
            <w:rStyle w:val="Hyperlink"/>
          </w:rPr>
          <w:t xml:space="preserve">PMC5610449</w:t>
        </w:r>
      </w:hyperlink>
    </w:p>
    <w:bookmarkEnd w:id="112"/>
    <w:bookmarkStart w:id="117" w:name="ref-vckO98IK"/>
    <w:p>
      <w:pPr>
        <w:pStyle w:val="Bibliography"/>
      </w:pPr>
      <w:r>
        <w:t xml:space="preserve">18.</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113">
        <w:r>
          <w:rPr>
            <w:rStyle w:val="Hyperlink"/>
          </w:rPr>
          <w:t xml:space="preserve">https://doi.org/f5h9zz</w:t>
        </w:r>
      </w:hyperlink>
      <w:r>
        <w:t xml:space="preserve"> </w:t>
      </w:r>
      <w:r>
        <w:br/>
      </w:r>
      <w:r>
        <w:t xml:space="preserve">DOI:</w:t>
      </w:r>
      <w:r>
        <w:t xml:space="preserve"> </w:t>
      </w:r>
      <w:hyperlink r:id="rId114">
        <w:r>
          <w:rPr>
            <w:rStyle w:val="Hyperlink"/>
          </w:rPr>
          <w:t xml:space="preserve">10.4269/ajtmh.13-0028</w:t>
        </w:r>
      </w:hyperlink>
      <w:r>
        <w:t xml:space="preserve"> </w:t>
      </w:r>
      <w:r>
        <w:t xml:space="preserve">· PMID:</w:t>
      </w:r>
      <w:r>
        <w:t xml:space="preserve"> </w:t>
      </w:r>
      <w:hyperlink r:id="rId115">
        <w:r>
          <w:rPr>
            <w:rStyle w:val="Hyperlink"/>
          </w:rPr>
          <w:t xml:space="preserve">24062477</w:t>
        </w:r>
      </w:hyperlink>
      <w:r>
        <w:t xml:space="preserve"> </w:t>
      </w:r>
      <w:r>
        <w:t xml:space="preserve">· PMCID:</w:t>
      </w:r>
      <w:r>
        <w:t xml:space="preserve"> </w:t>
      </w:r>
      <w:hyperlink r:id="rId116">
        <w:r>
          <w:rPr>
            <w:rStyle w:val="Hyperlink"/>
          </w:rPr>
          <w:t xml:space="preserve">PMC3820324</w:t>
        </w:r>
      </w:hyperlink>
    </w:p>
    <w:bookmarkEnd w:id="117"/>
    <w:bookmarkStart w:id="122" w:name="ref-s77kHoJc"/>
    <w:p>
      <w:pPr>
        <w:pStyle w:val="Bibliography"/>
      </w:pPr>
      <w:r>
        <w:t xml:space="preserve">19.</w:t>
      </w:r>
      <w:r>
        <w:t xml:space="preserve"> </w:t>
      </w:r>
      <w:r>
        <w:rPr>
          <w:b/>
        </w:rPr>
        <w:t xml:space="preserve">Entomological indices of malaria transmission in Chikhwawa district, Southern Malawi</w:t>
      </w:r>
      <w:r>
        <w:t xml:space="preserve"> </w:t>
      </w:r>
      <w:r>
        <w:br/>
      </w:r>
      <w:r>
        <w:t xml:space="preserve">Themba Mzilahowa, Ian M Hastings, Malcolm E Molyneux, Philip J McCall</w:t>
      </w:r>
      <w:r>
        <w:br/>
      </w:r>
      <w:r>
        <w:rPr>
          <w:i/>
        </w:rPr>
        <w:t xml:space="preserve">Malaria Journal</w:t>
      </w:r>
      <w:r>
        <w:t xml:space="preserve"> </w:t>
      </w:r>
      <w:r>
        <w:t xml:space="preserve">(2012-11-21)</w:t>
      </w:r>
      <w:r>
        <w:t xml:space="preserve"> </w:t>
      </w:r>
      <w:hyperlink r:id="rId118">
        <w:r>
          <w:rPr>
            <w:rStyle w:val="Hyperlink"/>
          </w:rPr>
          <w:t xml:space="preserve">https://doi.org/gbcb3h</w:t>
        </w:r>
      </w:hyperlink>
      <w:r>
        <w:t xml:space="preserve"> </w:t>
      </w:r>
      <w:r>
        <w:br/>
      </w:r>
      <w:r>
        <w:t xml:space="preserve">DOI:</w:t>
      </w:r>
      <w:r>
        <w:t xml:space="preserve"> </w:t>
      </w:r>
      <w:hyperlink r:id="rId119">
        <w:r>
          <w:rPr>
            <w:rStyle w:val="Hyperlink"/>
          </w:rPr>
          <w:t xml:space="preserve">10.1186/1475-2875-11-380</w:t>
        </w:r>
      </w:hyperlink>
      <w:r>
        <w:t xml:space="preserve"> </w:t>
      </w:r>
      <w:r>
        <w:t xml:space="preserve">· PMID:</w:t>
      </w:r>
      <w:r>
        <w:t xml:space="preserve"> </w:t>
      </w:r>
      <w:hyperlink r:id="rId120">
        <w:r>
          <w:rPr>
            <w:rStyle w:val="Hyperlink"/>
          </w:rPr>
          <w:t xml:space="preserve">23171123</w:t>
        </w:r>
      </w:hyperlink>
      <w:r>
        <w:t xml:space="preserve"> </w:t>
      </w:r>
      <w:r>
        <w:t xml:space="preserve">· PMCID:</w:t>
      </w:r>
      <w:r>
        <w:t xml:space="preserve"> </w:t>
      </w:r>
      <w:hyperlink r:id="rId121">
        <w:r>
          <w:rPr>
            <w:rStyle w:val="Hyperlink"/>
          </w:rPr>
          <w:t xml:space="preserve">PMC3536595</w:t>
        </w:r>
      </w:hyperlink>
    </w:p>
    <w:bookmarkEnd w:id="122"/>
    <w:bookmarkStart w:id="126" w:name="ref-pSmuJkYQ"/>
    <w:p>
      <w:pPr>
        <w:pStyle w:val="Bibliography"/>
      </w:pPr>
      <w:r>
        <w:t xml:space="preserve">20.</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123">
        <w:r>
          <w:rPr>
            <w:rStyle w:val="Hyperlink"/>
          </w:rPr>
          <w:t xml:space="preserve">https://doi.org/ghcqgj</w:t>
        </w:r>
      </w:hyperlink>
      <w:r>
        <w:t xml:space="preserve"> </w:t>
      </w:r>
      <w:r>
        <w:br/>
      </w:r>
      <w:r>
        <w:t xml:space="preserve">DOI:</w:t>
      </w:r>
      <w:r>
        <w:t xml:space="preserve"> </w:t>
      </w:r>
      <w:hyperlink r:id="rId124">
        <w:r>
          <w:rPr>
            <w:rStyle w:val="Hyperlink"/>
          </w:rPr>
          <w:t xml:space="preserve">10.4269/ajtmh.1987.37.37</w:t>
        </w:r>
      </w:hyperlink>
      <w:r>
        <w:t xml:space="preserve"> </w:t>
      </w:r>
      <w:r>
        <w:t xml:space="preserve">· PMID:</w:t>
      </w:r>
      <w:r>
        <w:t xml:space="preserve"> </w:t>
      </w:r>
      <w:hyperlink r:id="rId125">
        <w:r>
          <w:rPr>
            <w:rStyle w:val="Hyperlink"/>
          </w:rPr>
          <w:t xml:space="preserve">2886070</w:t>
        </w:r>
      </w:hyperlink>
    </w:p>
    <w:bookmarkEnd w:id="126"/>
    <w:bookmarkStart w:id="130" w:name="ref-f8uRMyY6"/>
    <w:p>
      <w:pPr>
        <w:pStyle w:val="Bibliography"/>
      </w:pPr>
      <w:r>
        <w:t xml:space="preserve">21.</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127">
        <w:r>
          <w:rPr>
            <w:rStyle w:val="Hyperlink"/>
          </w:rPr>
          <w:t xml:space="preserve">https://doi.org/f62ckd</w:t>
        </w:r>
      </w:hyperlink>
      <w:r>
        <w:t xml:space="preserve"> </w:t>
      </w:r>
      <w:r>
        <w:br/>
      </w:r>
      <w:r>
        <w:t xml:space="preserve">DOI:</w:t>
      </w:r>
      <w:r>
        <w:t xml:space="preserve"> </w:t>
      </w:r>
      <w:hyperlink r:id="rId128">
        <w:r>
          <w:rPr>
            <w:rStyle w:val="Hyperlink"/>
          </w:rPr>
          <w:t xml:space="preserve">10.1111/mve.12084</w:t>
        </w:r>
      </w:hyperlink>
      <w:r>
        <w:t xml:space="preserve"> </w:t>
      </w:r>
      <w:r>
        <w:t xml:space="preserve">· PMID:</w:t>
      </w:r>
      <w:r>
        <w:t xml:space="preserve"> </w:t>
      </w:r>
      <w:hyperlink r:id="rId129">
        <w:r>
          <w:rPr>
            <w:rStyle w:val="Hyperlink"/>
          </w:rPr>
          <w:t xml:space="preserve">25088021</w:t>
        </w:r>
      </w:hyperlink>
    </w:p>
    <w:bookmarkEnd w:id="130"/>
    <w:bookmarkStart w:id="135" w:name="ref-FVN9nrFP"/>
    <w:p>
      <w:pPr>
        <w:pStyle w:val="Bibliography"/>
      </w:pPr>
      <w:r>
        <w:t xml:space="preserve">22.</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131">
        <w:r>
          <w:rPr>
            <w:rStyle w:val="Hyperlink"/>
          </w:rPr>
          <w:t xml:space="preserve">https://doi.org/ghcqgg</w:t>
        </w:r>
      </w:hyperlink>
      <w:r>
        <w:t xml:space="preserve"> </w:t>
      </w:r>
      <w:r>
        <w:br/>
      </w:r>
      <w:r>
        <w:t xml:space="preserve">DOI:</w:t>
      </w:r>
      <w:r>
        <w:t xml:space="preserve"> </w:t>
      </w:r>
      <w:hyperlink r:id="rId132">
        <w:r>
          <w:rPr>
            <w:rStyle w:val="Hyperlink"/>
          </w:rPr>
          <w:t xml:space="preserve">10.1186/1756-3305-7-274</w:t>
        </w:r>
      </w:hyperlink>
      <w:r>
        <w:t xml:space="preserve"> </w:t>
      </w:r>
      <w:r>
        <w:t xml:space="preserve">· PMID:</w:t>
      </w:r>
      <w:r>
        <w:t xml:space="preserve"> </w:t>
      </w:r>
      <w:hyperlink r:id="rId133">
        <w:r>
          <w:rPr>
            <w:rStyle w:val="Hyperlink"/>
          </w:rPr>
          <w:t xml:space="preserve">24946780</w:t>
        </w:r>
      </w:hyperlink>
      <w:r>
        <w:t xml:space="preserve"> </w:t>
      </w:r>
      <w:r>
        <w:t xml:space="preserve">· PMCID:</w:t>
      </w:r>
      <w:r>
        <w:t xml:space="preserve"> </w:t>
      </w:r>
      <w:hyperlink r:id="rId134">
        <w:r>
          <w:rPr>
            <w:rStyle w:val="Hyperlink"/>
          </w:rPr>
          <w:t xml:space="preserve">PMC4082164</w:t>
        </w:r>
      </w:hyperlink>
    </w:p>
    <w:bookmarkEnd w:id="135"/>
    <w:bookmarkStart w:id="139" w:name="ref-ca2mjT0Y"/>
    <w:p>
      <w:pPr>
        <w:pStyle w:val="Bibliography"/>
      </w:pPr>
      <w:r>
        <w:t xml:space="preserve">23.</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136">
        <w:r>
          <w:rPr>
            <w:rStyle w:val="Hyperlink"/>
          </w:rPr>
          <w:t xml:space="preserve">https://doi.org/f3zsbt</w:t>
        </w:r>
      </w:hyperlink>
      <w:r>
        <w:t xml:space="preserve"> </w:t>
      </w:r>
      <w:r>
        <w:br/>
      </w:r>
      <w:r>
        <w:t xml:space="preserve">DOI:</w:t>
      </w:r>
      <w:r>
        <w:t xml:space="preserve"> </w:t>
      </w:r>
      <w:hyperlink r:id="rId137">
        <w:r>
          <w:rPr>
            <w:rStyle w:val="Hyperlink"/>
          </w:rPr>
          <w:t xml:space="preserve">10.1111/j.1365-3156.2012.02986.x</w:t>
        </w:r>
      </w:hyperlink>
      <w:r>
        <w:t xml:space="preserve"> </w:t>
      </w:r>
      <w:r>
        <w:t xml:space="preserve">· PMID:</w:t>
      </w:r>
      <w:r>
        <w:t xml:space="preserve"> </w:t>
      </w:r>
      <w:hyperlink r:id="rId138">
        <w:r>
          <w:rPr>
            <w:rStyle w:val="Hyperlink"/>
          </w:rPr>
          <w:t xml:space="preserve">22519840</w:t>
        </w:r>
      </w:hyperlink>
    </w:p>
    <w:bookmarkEnd w:id="139"/>
    <w:bookmarkStart w:id="144" w:name="ref-dB1ebxOj"/>
    <w:p>
      <w:pPr>
        <w:pStyle w:val="Bibliography"/>
      </w:pPr>
      <w:r>
        <w:t xml:space="preserve">24.</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140">
        <w:r>
          <w:rPr>
            <w:rStyle w:val="Hyperlink"/>
          </w:rPr>
          <w:t xml:space="preserve">https://doi.org/ghcqgf</w:t>
        </w:r>
      </w:hyperlink>
      <w:r>
        <w:t xml:space="preserve"> </w:t>
      </w:r>
      <w:r>
        <w:br/>
      </w:r>
      <w:r>
        <w:t xml:space="preserve">DOI:</w:t>
      </w:r>
      <w:r>
        <w:t xml:space="preserve"> </w:t>
      </w:r>
      <w:hyperlink r:id="rId141">
        <w:r>
          <w:rPr>
            <w:rStyle w:val="Hyperlink"/>
          </w:rPr>
          <w:t xml:space="preserve">10.1186/1475-2875-12-149</w:t>
        </w:r>
      </w:hyperlink>
      <w:r>
        <w:t xml:space="preserve"> </w:t>
      </w:r>
      <w:r>
        <w:t xml:space="preserve">· PMID:</w:t>
      </w:r>
      <w:r>
        <w:t xml:space="preserve"> </w:t>
      </w:r>
      <w:hyperlink r:id="rId142">
        <w:r>
          <w:rPr>
            <w:rStyle w:val="Hyperlink"/>
          </w:rPr>
          <w:t xml:space="preserve">23638757</w:t>
        </w:r>
      </w:hyperlink>
      <w:r>
        <w:t xml:space="preserve"> </w:t>
      </w:r>
      <w:r>
        <w:t xml:space="preserve">· PMCID:</w:t>
      </w:r>
      <w:r>
        <w:t xml:space="preserve"> </w:t>
      </w:r>
      <w:hyperlink r:id="rId143">
        <w:r>
          <w:rPr>
            <w:rStyle w:val="Hyperlink"/>
          </w:rPr>
          <w:t xml:space="preserve">PMC3655935</w:t>
        </w:r>
      </w:hyperlink>
    </w:p>
    <w:bookmarkEnd w:id="144"/>
    <w:bookmarkStart w:id="149" w:name="ref-m3y4gwzb"/>
    <w:p>
      <w:pPr>
        <w:pStyle w:val="Bibliography"/>
      </w:pPr>
      <w:r>
        <w:t xml:space="preserve">25.</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145">
        <w:r>
          <w:rPr>
            <w:rStyle w:val="Hyperlink"/>
          </w:rPr>
          <w:t xml:space="preserve">https://doi.org/gdkzsz</w:t>
        </w:r>
      </w:hyperlink>
      <w:r>
        <w:t xml:space="preserve"> </w:t>
      </w:r>
      <w:r>
        <w:br/>
      </w:r>
      <w:r>
        <w:t xml:space="preserve">DOI:</w:t>
      </w:r>
      <w:r>
        <w:t xml:space="preserve"> </w:t>
      </w:r>
      <w:hyperlink r:id="rId146">
        <w:r>
          <w:rPr>
            <w:rStyle w:val="Hyperlink"/>
          </w:rPr>
          <w:t xml:space="preserve">10.1186/1475-2875-13-111</w:t>
        </w:r>
      </w:hyperlink>
      <w:r>
        <w:t xml:space="preserve"> </w:t>
      </w:r>
      <w:r>
        <w:t xml:space="preserve">· PMID:</w:t>
      </w:r>
      <w:r>
        <w:t xml:space="preserve"> </w:t>
      </w:r>
      <w:hyperlink r:id="rId147">
        <w:r>
          <w:rPr>
            <w:rStyle w:val="Hyperlink"/>
          </w:rPr>
          <w:t xml:space="preserve">24656206</w:t>
        </w:r>
      </w:hyperlink>
      <w:r>
        <w:t xml:space="preserve"> </w:t>
      </w:r>
      <w:r>
        <w:t xml:space="preserve">· PMCID:</w:t>
      </w:r>
      <w:r>
        <w:t xml:space="preserve"> </w:t>
      </w:r>
      <w:hyperlink r:id="rId148">
        <w:r>
          <w:rPr>
            <w:rStyle w:val="Hyperlink"/>
          </w:rPr>
          <w:t xml:space="preserve">PMC4001112</w:t>
        </w:r>
      </w:hyperlink>
    </w:p>
    <w:bookmarkEnd w:id="149"/>
    <w:bookmarkStart w:id="154" w:name="ref-z9HqxYF3"/>
    <w:p>
      <w:pPr>
        <w:pStyle w:val="Bibliography"/>
      </w:pPr>
      <w:r>
        <w:t xml:space="preserve">26.</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150">
        <w:r>
          <w:rPr>
            <w:rStyle w:val="Hyperlink"/>
          </w:rPr>
          <w:t xml:space="preserve">https://doi.org/f56k77</w:t>
        </w:r>
      </w:hyperlink>
      <w:r>
        <w:t xml:space="preserve"> </w:t>
      </w:r>
      <w:r>
        <w:br/>
      </w:r>
      <w:r>
        <w:t xml:space="preserve">DOI:</w:t>
      </w:r>
      <w:r>
        <w:t xml:space="preserve"> </w:t>
      </w:r>
      <w:hyperlink r:id="rId151">
        <w:r>
          <w:rPr>
            <w:rStyle w:val="Hyperlink"/>
          </w:rPr>
          <w:t xml:space="preserve">10.1371/journal.pgen.1004236</w:t>
        </w:r>
      </w:hyperlink>
      <w:r>
        <w:t xml:space="preserve"> </w:t>
      </w:r>
      <w:r>
        <w:t xml:space="preserve">· PMID:</w:t>
      </w:r>
      <w:r>
        <w:t xml:space="preserve"> </w:t>
      </w:r>
      <w:hyperlink r:id="rId152">
        <w:r>
          <w:rPr>
            <w:rStyle w:val="Hyperlink"/>
          </w:rPr>
          <w:t xml:space="preserve">24651294</w:t>
        </w:r>
      </w:hyperlink>
      <w:r>
        <w:t xml:space="preserve"> </w:t>
      </w:r>
      <w:r>
        <w:t xml:space="preserve">· PMCID:</w:t>
      </w:r>
      <w:r>
        <w:t xml:space="preserve"> </w:t>
      </w:r>
      <w:hyperlink r:id="rId153">
        <w:r>
          <w:rPr>
            <w:rStyle w:val="Hyperlink"/>
          </w:rPr>
          <w:t xml:space="preserve">PMC3961184</w:t>
        </w:r>
      </w:hyperlink>
    </w:p>
    <w:bookmarkEnd w:id="154"/>
    <w:bookmarkEnd w:id="15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5fa55e4da63a6f1762cb6233ac10996447e64040" TargetMode="External" /><Relationship Type="http://schemas.openxmlformats.org/officeDocument/2006/relationships/hyperlink" Id="rId20" Target="https://malariagen.github.io/ag1000g-phase3-data-paper/v/5fa55e4da63a6f1762cb6233ac10996447e64040/"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_rels/footnotes.xml.rels><?xml version="1.0" encoding="UTF-8"?>
<Relationships xmlns="http://schemas.openxmlformats.org/package/2006/relationships"><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5fa55e4da63a6f1762cb6233ac10996447e64040" TargetMode="External" /><Relationship Type="http://schemas.openxmlformats.org/officeDocument/2006/relationships/hyperlink" Id="rId20" Target="https://malariagen.github.io/ag1000g-phase3-data-paper/v/5fa55e4da63a6f1762cb6233ac10996447e64040/"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2020-11-11T15:07:29Z</dcterms:created>
  <dcterms:modified xsi:type="dcterms:W3CDTF">2020-11-11T15:07:29Z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